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C6" w:rsidRPr="00F06B5D" w:rsidRDefault="003D00C6">
      <w:pPr>
        <w:rPr>
          <w:lang w:val="en-US"/>
        </w:rPr>
      </w:pPr>
    </w:p>
    <w:p w:rsidR="00DA141B" w:rsidRPr="00F06B5D" w:rsidRDefault="00AE708B" w:rsidP="00AE708B">
      <w:pPr>
        <w:tabs>
          <w:tab w:val="left" w:pos="7965"/>
        </w:tabs>
        <w:rPr>
          <w:lang w:val="en-US"/>
        </w:rPr>
      </w:pPr>
      <w:r w:rsidRPr="00F06B5D">
        <w:rPr>
          <w:lang w:val="en-US"/>
        </w:rPr>
        <w:tab/>
      </w:r>
    </w:p>
    <w:p w:rsidR="00DA141B" w:rsidRPr="00F06B5D" w:rsidRDefault="00DA141B">
      <w:pPr>
        <w:rPr>
          <w:lang w:val="en-US"/>
        </w:rPr>
      </w:pPr>
    </w:p>
    <w:p w:rsidR="00101641" w:rsidRPr="00F06B5D" w:rsidRDefault="00F574E9" w:rsidP="00101641">
      <w:pPr>
        <w:pStyle w:val="SchlagzeilePressemitteilung"/>
        <w:framePr w:w="8179" w:wrap="around" w:y="2365"/>
        <w:spacing w:line="240" w:lineRule="auto"/>
        <w:rPr>
          <w:rFonts w:cs="Arial"/>
          <w:color w:val="7A716F"/>
          <w:sz w:val="40"/>
          <w:szCs w:val="40"/>
          <w:lang w:val="en-US" w:bidi="de-DE"/>
        </w:rPr>
      </w:pPr>
      <w:r w:rsidRPr="00F06B5D">
        <w:rPr>
          <w:rFonts w:cs="Arial"/>
          <w:color w:val="7A716F"/>
          <w:sz w:val="40"/>
          <w:lang w:val="en-US"/>
        </w:rPr>
        <w:t>CHG-MERIDIAN AG replicates record prior-year results</w:t>
      </w:r>
    </w:p>
    <w:p w:rsidR="00F65BB6" w:rsidRPr="00F06B5D" w:rsidRDefault="00F65BB6" w:rsidP="000728EF">
      <w:pPr>
        <w:pStyle w:val="SchlagzeilePressemitteilung"/>
        <w:framePr w:w="8179" w:wrap="around" w:y="2365"/>
        <w:spacing w:line="240" w:lineRule="auto"/>
        <w:rPr>
          <w:rFonts w:cs="Arial"/>
          <w:color w:val="7A716F"/>
          <w:sz w:val="40"/>
          <w:szCs w:val="40"/>
          <w:lang w:val="en-US" w:bidi="de-DE"/>
        </w:rPr>
      </w:pPr>
    </w:p>
    <w:p w:rsidR="00AE708B" w:rsidRPr="00F06B5D" w:rsidRDefault="008530B1" w:rsidP="00B4072D">
      <w:pPr>
        <w:pStyle w:val="AufzhlungspunkteCHG-MERIDIAN"/>
        <w:spacing w:line="360" w:lineRule="auto"/>
        <w:ind w:left="641" w:right="1416" w:hanging="357"/>
        <w:rPr>
          <w:rFonts w:cs="Arial"/>
          <w:b/>
          <w:color w:val="7A716F"/>
          <w:sz w:val="24"/>
          <w:lang w:val="en-US" w:bidi="de-DE"/>
        </w:rPr>
      </w:pPr>
      <w:r w:rsidRPr="00F06B5D">
        <w:rPr>
          <w:rFonts w:cs="Arial"/>
          <w:b/>
          <w:color w:val="7A716F"/>
          <w:sz w:val="24"/>
          <w:lang w:val="en-US"/>
        </w:rPr>
        <w:t>Continuity: volume of lease originations once again exceeds €1 billion in 2014</w:t>
      </w:r>
    </w:p>
    <w:p w:rsidR="00B86B7F" w:rsidRPr="00F06B5D" w:rsidRDefault="004D3421" w:rsidP="00B4072D">
      <w:pPr>
        <w:pStyle w:val="AufzhlungspunkteCHG-MERIDIAN"/>
        <w:spacing w:line="360" w:lineRule="auto"/>
        <w:ind w:left="641" w:right="1416" w:hanging="357"/>
        <w:rPr>
          <w:rFonts w:cs="Arial"/>
          <w:b/>
          <w:color w:val="7A716F"/>
          <w:sz w:val="24"/>
          <w:lang w:val="en-US" w:bidi="de-DE"/>
        </w:rPr>
      </w:pPr>
      <w:r w:rsidRPr="00F06B5D">
        <w:rPr>
          <w:rFonts w:cs="Arial"/>
          <w:b/>
          <w:color w:val="7A716F"/>
          <w:sz w:val="24"/>
          <w:lang w:val="en-US"/>
        </w:rPr>
        <w:t xml:space="preserve">Diversification: establishment of the Healthcare technology </w:t>
      </w:r>
      <w:r w:rsidR="00BB0086">
        <w:rPr>
          <w:rFonts w:cs="Arial"/>
          <w:b/>
          <w:color w:val="7A716F"/>
          <w:sz w:val="24"/>
          <w:lang w:val="en-US"/>
        </w:rPr>
        <w:t>segment</w:t>
      </w:r>
      <w:r w:rsidRPr="00F06B5D">
        <w:rPr>
          <w:rFonts w:cs="Arial"/>
          <w:b/>
          <w:color w:val="7A716F"/>
          <w:sz w:val="24"/>
          <w:lang w:val="en-US"/>
        </w:rPr>
        <w:t xml:space="preserve"> gets off to a good start</w:t>
      </w:r>
    </w:p>
    <w:p w:rsidR="00F65BB6" w:rsidRPr="00F06B5D" w:rsidRDefault="008530B1" w:rsidP="00B4072D">
      <w:pPr>
        <w:pStyle w:val="AufzhlungspunkteCHG-MERIDIAN"/>
        <w:spacing w:line="360" w:lineRule="auto"/>
        <w:ind w:left="641" w:right="1416" w:hanging="357"/>
        <w:rPr>
          <w:rFonts w:cs="Arial"/>
          <w:b/>
          <w:color w:val="7A716F"/>
          <w:sz w:val="24"/>
          <w:lang w:val="en-US" w:bidi="de-DE"/>
        </w:rPr>
      </w:pPr>
      <w:r w:rsidRPr="00F06B5D">
        <w:rPr>
          <w:rFonts w:cs="Arial"/>
          <w:b/>
          <w:color w:val="7A716F"/>
          <w:sz w:val="24"/>
          <w:lang w:val="en-US"/>
        </w:rPr>
        <w:t>Strateg</w:t>
      </w:r>
      <w:r w:rsidR="00BB0086">
        <w:rPr>
          <w:rFonts w:cs="Arial"/>
          <w:b/>
          <w:color w:val="7A716F"/>
          <w:sz w:val="24"/>
          <w:lang w:val="en-US"/>
        </w:rPr>
        <w:t>y: d</w:t>
      </w:r>
      <w:r w:rsidRPr="00F06B5D">
        <w:rPr>
          <w:rFonts w:cs="Arial"/>
          <w:b/>
          <w:color w:val="7A716F"/>
          <w:sz w:val="24"/>
          <w:lang w:val="en-US"/>
        </w:rPr>
        <w:t xml:space="preserve">ecisions taken in </w:t>
      </w:r>
      <w:r w:rsidR="00FB445E">
        <w:rPr>
          <w:rFonts w:cs="Arial"/>
          <w:b/>
          <w:color w:val="7A716F"/>
          <w:sz w:val="24"/>
          <w:lang w:val="en-US"/>
        </w:rPr>
        <w:t>Northern Europe</w:t>
      </w:r>
      <w:r w:rsidRPr="00F06B5D">
        <w:rPr>
          <w:rFonts w:cs="Arial"/>
          <w:b/>
          <w:color w:val="7A716F"/>
          <w:sz w:val="24"/>
          <w:lang w:val="en-US"/>
        </w:rPr>
        <w:t xml:space="preserve">, the US, and Mexico will secure further growth </w:t>
      </w:r>
    </w:p>
    <w:p w:rsidR="00A43742" w:rsidRPr="00F06B5D" w:rsidRDefault="00A43742" w:rsidP="00F649D6">
      <w:pPr>
        <w:pStyle w:val="AufzhlungspunkteCHG-MERIDIAN"/>
        <w:numPr>
          <w:ilvl w:val="0"/>
          <w:numId w:val="0"/>
        </w:numPr>
        <w:spacing w:line="360" w:lineRule="auto"/>
        <w:jc w:val="both"/>
        <w:rPr>
          <w:szCs w:val="19"/>
          <w:u w:val="single"/>
          <w:lang w:val="en-US"/>
        </w:rPr>
      </w:pPr>
    </w:p>
    <w:p w:rsidR="00B86B7F" w:rsidRPr="00F06B5D" w:rsidRDefault="00364AF8" w:rsidP="00F649D6">
      <w:pPr>
        <w:pStyle w:val="AufzhlungspunkteCHG-MERIDIAN"/>
        <w:numPr>
          <w:ilvl w:val="0"/>
          <w:numId w:val="0"/>
        </w:numPr>
        <w:spacing w:line="360" w:lineRule="auto"/>
        <w:jc w:val="both"/>
        <w:rPr>
          <w:szCs w:val="19"/>
          <w:u w:val="single"/>
          <w:lang w:val="en-US"/>
        </w:rPr>
      </w:pPr>
      <w:r w:rsidRPr="00F06B5D">
        <w:rPr>
          <w:u w:val="single"/>
          <w:lang w:val="en-US"/>
        </w:rPr>
        <w:t>Weingarten, February 13, 2015</w:t>
      </w:r>
    </w:p>
    <w:p w:rsidR="004D44E2" w:rsidRPr="00F06B5D" w:rsidRDefault="004D44E2" w:rsidP="004D2B7E">
      <w:pPr>
        <w:pStyle w:val="AufzhlungspunkteCHG-MERIDIAN"/>
        <w:numPr>
          <w:ilvl w:val="0"/>
          <w:numId w:val="0"/>
        </w:numPr>
        <w:spacing w:line="360" w:lineRule="auto"/>
        <w:jc w:val="both"/>
        <w:rPr>
          <w:szCs w:val="19"/>
          <w:lang w:val="en-US"/>
        </w:rPr>
      </w:pPr>
    </w:p>
    <w:p w:rsidR="002D445A" w:rsidRPr="00F06B5D" w:rsidRDefault="00101641" w:rsidP="004D2B7E">
      <w:pPr>
        <w:pStyle w:val="AufzhlungspunkteCHG-MERIDIAN"/>
        <w:numPr>
          <w:ilvl w:val="0"/>
          <w:numId w:val="0"/>
        </w:numPr>
        <w:spacing w:line="360" w:lineRule="auto"/>
        <w:jc w:val="both"/>
        <w:rPr>
          <w:szCs w:val="19"/>
          <w:lang w:val="en-US"/>
        </w:rPr>
      </w:pPr>
      <w:r w:rsidRPr="00F06B5D">
        <w:rPr>
          <w:lang w:val="en-US"/>
        </w:rPr>
        <w:t xml:space="preserve">Thanks to the continuous growth that it has generated, CHG-MERIDIAN AG – a financial and technology manager that operates through 40 branch offices in 23 countries around the world and is headquartered in Weingarten, southern Germany – managed to keep its volume of lease originations more or less unchanged last year at €1.004 billion (2013: €1.006 billion). On the income side, the Company increased its gross profit by 1.4 percent to €152 million in 2014 (2013: €150 million). </w:t>
      </w:r>
    </w:p>
    <w:p w:rsidR="002D445A" w:rsidRDefault="002D445A" w:rsidP="004D2B7E">
      <w:pPr>
        <w:pStyle w:val="AufzhlungspunkteCHG-MERIDIAN"/>
        <w:numPr>
          <w:ilvl w:val="0"/>
          <w:numId w:val="0"/>
        </w:numPr>
        <w:spacing w:line="360" w:lineRule="auto"/>
        <w:jc w:val="both"/>
        <w:rPr>
          <w:szCs w:val="19"/>
          <w:lang w:val="en-US"/>
        </w:rPr>
      </w:pPr>
    </w:p>
    <w:p w:rsidR="00FA505E" w:rsidRPr="00F06B5D" w:rsidRDefault="00BB0086" w:rsidP="004D2B7E">
      <w:pPr>
        <w:pStyle w:val="AufzhlungspunkteCHG-MERIDIAN"/>
        <w:numPr>
          <w:ilvl w:val="0"/>
          <w:numId w:val="0"/>
        </w:numPr>
        <w:spacing w:line="360" w:lineRule="auto"/>
        <w:jc w:val="both"/>
        <w:rPr>
          <w:szCs w:val="19"/>
          <w:lang w:val="en-US"/>
        </w:rPr>
      </w:pPr>
      <w:r>
        <w:rPr>
          <w:lang w:val="en-US"/>
        </w:rPr>
        <w:t>Lease</w:t>
      </w:r>
      <w:r w:rsidRPr="00F06B5D">
        <w:rPr>
          <w:lang w:val="en-US"/>
        </w:rPr>
        <w:t xml:space="preserve"> originations in CHG-MERIDIAN AG's core market of </w:t>
      </w:r>
      <w:r>
        <w:rPr>
          <w:lang w:val="en-US"/>
        </w:rPr>
        <w:t>C</w:t>
      </w:r>
      <w:r w:rsidRPr="00F06B5D">
        <w:rPr>
          <w:lang w:val="en-US"/>
        </w:rPr>
        <w:t xml:space="preserve">entral Europe (Germany, Austria, </w:t>
      </w:r>
      <w:r w:rsidR="00B7046E">
        <w:rPr>
          <w:lang w:val="en-US"/>
        </w:rPr>
        <w:t xml:space="preserve">Slovenia </w:t>
      </w:r>
      <w:r w:rsidRPr="00F06B5D">
        <w:rPr>
          <w:lang w:val="en-US"/>
        </w:rPr>
        <w:t>and Switzerland) grew by 2.2 percent to €518 million (2013: €507 million).</w:t>
      </w:r>
      <w:r>
        <w:rPr>
          <w:lang w:val="en-US"/>
        </w:rPr>
        <w:t xml:space="preserve"> </w:t>
      </w:r>
      <w:r w:rsidR="002D445A" w:rsidRPr="00F06B5D">
        <w:rPr>
          <w:lang w:val="en-US"/>
        </w:rPr>
        <w:t xml:space="preserve">By contrast, the volume of leases originated by CHG-MERIDIAN AG declined slightly year on year to €21 million in </w:t>
      </w:r>
      <w:r w:rsidR="00FB445E">
        <w:rPr>
          <w:lang w:val="en-US"/>
        </w:rPr>
        <w:t>E</w:t>
      </w:r>
      <w:r w:rsidR="002D445A" w:rsidRPr="00F06B5D">
        <w:rPr>
          <w:lang w:val="en-US"/>
        </w:rPr>
        <w:t>astern Europe (2013: €27 million) and decreased to €1</w:t>
      </w:r>
      <w:r>
        <w:rPr>
          <w:lang w:val="en-US"/>
        </w:rPr>
        <w:t>56</w:t>
      </w:r>
      <w:r w:rsidR="002D445A" w:rsidRPr="00F06B5D">
        <w:rPr>
          <w:lang w:val="en-US"/>
        </w:rPr>
        <w:t xml:space="preserve"> million in </w:t>
      </w:r>
      <w:r w:rsidR="00FB445E">
        <w:rPr>
          <w:lang w:val="en-US"/>
        </w:rPr>
        <w:t>W</w:t>
      </w:r>
      <w:r w:rsidR="002D445A" w:rsidRPr="00F06B5D">
        <w:rPr>
          <w:lang w:val="en-US"/>
        </w:rPr>
        <w:t xml:space="preserve">estern Europe (2013: €180 million). These results partly reflected the Company's cautious approach – especially in the Russian market. </w:t>
      </w:r>
      <w:r w:rsidR="004D3421" w:rsidRPr="00F06B5D">
        <w:rPr>
          <w:lang w:val="en-US"/>
        </w:rPr>
        <w:t xml:space="preserve">"The fact that we have almost seamlessly replicated the record results we achieved in 2013 vindicates the strategy on which we have embarked and shows that we can gradually expand our market share even further," said Jürgen Mossakowski, Chief Executive Officer of the privately owned company, at the annual press conference in Weingarten. </w:t>
      </w:r>
    </w:p>
    <w:p w:rsidR="00FA505E" w:rsidRPr="00F06B5D" w:rsidRDefault="00FA505E" w:rsidP="004D2B7E">
      <w:pPr>
        <w:pStyle w:val="AufzhlungspunkteCHG-MERIDIAN"/>
        <w:numPr>
          <w:ilvl w:val="0"/>
          <w:numId w:val="0"/>
        </w:numPr>
        <w:spacing w:line="360" w:lineRule="auto"/>
        <w:jc w:val="both"/>
        <w:rPr>
          <w:szCs w:val="19"/>
          <w:lang w:val="en-US"/>
        </w:rPr>
      </w:pPr>
    </w:p>
    <w:p w:rsidR="002D445A" w:rsidRPr="00F06B5D" w:rsidRDefault="002D445A" w:rsidP="004D2B7E">
      <w:pPr>
        <w:pStyle w:val="AufzhlungspunkteCHG-MERIDIAN"/>
        <w:numPr>
          <w:ilvl w:val="0"/>
          <w:numId w:val="0"/>
        </w:numPr>
        <w:spacing w:line="360" w:lineRule="auto"/>
        <w:jc w:val="both"/>
        <w:rPr>
          <w:b/>
          <w:szCs w:val="19"/>
          <w:lang w:val="en-US"/>
        </w:rPr>
      </w:pPr>
      <w:r w:rsidRPr="00F06B5D">
        <w:rPr>
          <w:b/>
          <w:lang w:val="en-US"/>
        </w:rPr>
        <w:t xml:space="preserve">Healthcare technology </w:t>
      </w:r>
      <w:r w:rsidR="00BB0086">
        <w:rPr>
          <w:b/>
          <w:lang w:val="en-US"/>
        </w:rPr>
        <w:t>segment</w:t>
      </w:r>
      <w:r w:rsidRPr="00F06B5D">
        <w:rPr>
          <w:b/>
          <w:lang w:val="en-US"/>
        </w:rPr>
        <w:t xml:space="preserve"> gets off to a good start</w:t>
      </w:r>
    </w:p>
    <w:p w:rsidR="00FA505E" w:rsidRPr="00F06B5D" w:rsidRDefault="004D3421" w:rsidP="004D2B7E">
      <w:pPr>
        <w:pStyle w:val="AufzhlungspunkteCHG-MERIDIAN"/>
        <w:numPr>
          <w:ilvl w:val="0"/>
          <w:numId w:val="0"/>
        </w:numPr>
        <w:spacing w:line="360" w:lineRule="auto"/>
        <w:jc w:val="both"/>
        <w:rPr>
          <w:szCs w:val="19"/>
          <w:lang w:val="en-US"/>
        </w:rPr>
      </w:pPr>
      <w:r w:rsidRPr="00F06B5D">
        <w:rPr>
          <w:lang w:val="en-US"/>
        </w:rPr>
        <w:t xml:space="preserve">A case in point is the Healthcare technology segment, which the Company has been in </w:t>
      </w:r>
      <w:r w:rsidRPr="00BB0086">
        <w:rPr>
          <w:lang w:val="en-US"/>
        </w:rPr>
        <w:t xml:space="preserve">the process of establishing since 2013. CHG-MERIDIAN managed healthcare investments worth more than €30 million for clients in Europe and North America in 2014. Taken together, the Company manages information technologies, industrial technologies, </w:t>
      </w:r>
      <w:r w:rsidRPr="00BB0086">
        <w:rPr>
          <w:lang w:val="en-US"/>
        </w:rPr>
        <w:lastRenderedPageBreak/>
        <w:t>and healthcare technologies worth an aggregate €4.2 billion for customers in 23 countries. It plans to significantly increase the proportion of healthcare investments over the next few years.</w:t>
      </w:r>
    </w:p>
    <w:p w:rsidR="00EC59AA" w:rsidRPr="00F06B5D" w:rsidRDefault="00EC59AA" w:rsidP="004D2B7E">
      <w:pPr>
        <w:pStyle w:val="AufzhlungspunkteCHG-MERIDIAN"/>
        <w:numPr>
          <w:ilvl w:val="0"/>
          <w:numId w:val="0"/>
        </w:numPr>
        <w:spacing w:line="360" w:lineRule="auto"/>
        <w:jc w:val="both"/>
        <w:rPr>
          <w:szCs w:val="19"/>
          <w:lang w:val="en-US"/>
        </w:rPr>
      </w:pPr>
    </w:p>
    <w:p w:rsidR="00BC6264" w:rsidRPr="00F06B5D" w:rsidRDefault="00BC6264" w:rsidP="004D2B7E">
      <w:pPr>
        <w:pStyle w:val="AufzhlungspunkteCHG-MERIDIAN"/>
        <w:numPr>
          <w:ilvl w:val="0"/>
          <w:numId w:val="0"/>
        </w:numPr>
        <w:spacing w:line="360" w:lineRule="auto"/>
        <w:jc w:val="both"/>
        <w:rPr>
          <w:b/>
          <w:szCs w:val="19"/>
          <w:lang w:val="en-US"/>
        </w:rPr>
      </w:pPr>
      <w:r w:rsidRPr="00F06B5D">
        <w:rPr>
          <w:b/>
          <w:lang w:val="en-US"/>
        </w:rPr>
        <w:t>Strategic decisions will secure further growth</w:t>
      </w:r>
    </w:p>
    <w:p w:rsidR="002D445A" w:rsidRPr="00F06B5D" w:rsidRDefault="002D445A" w:rsidP="002D445A">
      <w:pPr>
        <w:pStyle w:val="AufzhlungspunkteCHG-MERIDIAN"/>
        <w:numPr>
          <w:ilvl w:val="0"/>
          <w:numId w:val="0"/>
        </w:numPr>
        <w:spacing w:line="360" w:lineRule="auto"/>
        <w:jc w:val="both"/>
        <w:rPr>
          <w:szCs w:val="19"/>
          <w:lang w:val="en-US"/>
        </w:rPr>
      </w:pPr>
      <w:r w:rsidRPr="00F06B5D">
        <w:rPr>
          <w:lang w:val="en-US"/>
        </w:rPr>
        <w:t xml:space="preserve">Mossakowski also expects additional growth to be generated by the Company's recent international expansion into </w:t>
      </w:r>
      <w:r w:rsidR="00BB0086">
        <w:rPr>
          <w:lang w:val="en-US"/>
        </w:rPr>
        <w:t>N</w:t>
      </w:r>
      <w:r w:rsidRPr="00F06B5D">
        <w:rPr>
          <w:lang w:val="en-US"/>
        </w:rPr>
        <w:t xml:space="preserve">orthern Europe. CHG-MERIDIAN acquired the Norway-based ACENTO Group in the third quarter of 2014. ACENTO is one of the major providers of finance and services in information technologies, industrial technologies, and healthcare technologies in </w:t>
      </w:r>
      <w:r w:rsidR="00BB0086">
        <w:rPr>
          <w:lang w:val="en-US"/>
        </w:rPr>
        <w:t>N</w:t>
      </w:r>
      <w:r w:rsidRPr="00F06B5D">
        <w:rPr>
          <w:lang w:val="en-US"/>
        </w:rPr>
        <w:t xml:space="preserve">orthern Europe. It manages technology investments worth in excess of €167 million. This firm – which from now on will be reported in the CHG-MERIDIAN Group's consolidated financial statements as the </w:t>
      </w:r>
      <w:r w:rsidR="00BB0086">
        <w:rPr>
          <w:lang w:val="en-US"/>
        </w:rPr>
        <w:t>N</w:t>
      </w:r>
      <w:r w:rsidRPr="00F06B5D">
        <w:rPr>
          <w:lang w:val="en-US"/>
        </w:rPr>
        <w:t xml:space="preserve">orthern Europe region – contributed lease originations </w:t>
      </w:r>
      <w:r w:rsidR="00F06B5D" w:rsidRPr="00F06B5D">
        <w:rPr>
          <w:lang w:val="en-US"/>
        </w:rPr>
        <w:t>totaling</w:t>
      </w:r>
      <w:r w:rsidRPr="00F06B5D">
        <w:rPr>
          <w:lang w:val="en-US"/>
        </w:rPr>
        <w:t xml:space="preserve"> more than €22 million to CHG-MERIDIAN's financial results for 2014.</w:t>
      </w:r>
    </w:p>
    <w:p w:rsidR="002D445A" w:rsidRPr="00F06B5D" w:rsidRDefault="002D445A" w:rsidP="004D2B7E">
      <w:pPr>
        <w:pStyle w:val="AufzhlungspunkteCHG-MERIDIAN"/>
        <w:numPr>
          <w:ilvl w:val="0"/>
          <w:numId w:val="0"/>
        </w:numPr>
        <w:spacing w:line="360" w:lineRule="auto"/>
        <w:jc w:val="both"/>
        <w:rPr>
          <w:szCs w:val="19"/>
          <w:lang w:val="en-US"/>
        </w:rPr>
      </w:pPr>
    </w:p>
    <w:p w:rsidR="0053683E" w:rsidRPr="00F06B5D" w:rsidRDefault="002D445A" w:rsidP="004D2B7E">
      <w:pPr>
        <w:pStyle w:val="AufzhlungspunkteCHG-MERIDIAN"/>
        <w:numPr>
          <w:ilvl w:val="0"/>
          <w:numId w:val="0"/>
        </w:numPr>
        <w:spacing w:line="360" w:lineRule="auto"/>
        <w:jc w:val="both"/>
        <w:rPr>
          <w:szCs w:val="19"/>
          <w:lang w:val="en-US"/>
        </w:rPr>
      </w:pPr>
      <w:r w:rsidRPr="00F06B5D">
        <w:rPr>
          <w:lang w:val="en-US"/>
        </w:rPr>
        <w:t>The Company also expects to generate further significant growth from the Americas region, which includes the United States</w:t>
      </w:r>
      <w:r w:rsidR="00B7046E">
        <w:rPr>
          <w:lang w:val="en-US"/>
        </w:rPr>
        <w:t xml:space="preserve">, </w:t>
      </w:r>
      <w:r w:rsidRPr="00F06B5D">
        <w:rPr>
          <w:lang w:val="en-US"/>
        </w:rPr>
        <w:t>Mexico</w:t>
      </w:r>
      <w:r w:rsidR="00B7046E">
        <w:rPr>
          <w:lang w:val="en-US"/>
        </w:rPr>
        <w:t xml:space="preserve"> and Brazil</w:t>
      </w:r>
      <w:r w:rsidRPr="00F06B5D">
        <w:rPr>
          <w:lang w:val="en-US"/>
        </w:rPr>
        <w:t>. In 2014, however, its US subsidiary fell short of expectations and failed to meet its ambitious e</w:t>
      </w:r>
      <w:r w:rsidR="00B7046E">
        <w:rPr>
          <w:lang w:val="en-US"/>
        </w:rPr>
        <w:t xml:space="preserve">arnings targets. "We see the US, </w:t>
      </w:r>
      <w:r w:rsidRPr="00F06B5D">
        <w:rPr>
          <w:lang w:val="en-US"/>
        </w:rPr>
        <w:t xml:space="preserve">Mexico </w:t>
      </w:r>
      <w:r w:rsidR="00B7046E">
        <w:rPr>
          <w:lang w:val="en-US"/>
        </w:rPr>
        <w:t xml:space="preserve">and Brazil </w:t>
      </w:r>
      <w:r w:rsidRPr="00F06B5D">
        <w:rPr>
          <w:lang w:val="en-US"/>
        </w:rPr>
        <w:t xml:space="preserve">as strategically important markets that offer us huge growth potential. We need to get back on track here – and that's exactly what we will do," stressed Mossakowski. By carrying out a </w:t>
      </w:r>
      <w:r w:rsidR="00B7046E">
        <w:rPr>
          <w:lang w:val="en-US"/>
        </w:rPr>
        <w:t xml:space="preserve">local </w:t>
      </w:r>
      <w:r w:rsidRPr="00F06B5D">
        <w:rPr>
          <w:lang w:val="en-US"/>
        </w:rPr>
        <w:t>management restructuring in the fourth quarter of 2014, CHG-MERIDIAN has cleared the way for further growth.</w:t>
      </w:r>
    </w:p>
    <w:p w:rsidR="00910D61" w:rsidRPr="00F06B5D" w:rsidRDefault="00910D61" w:rsidP="004D2B7E">
      <w:pPr>
        <w:pStyle w:val="AufzhlungspunkteCHG-MERIDIAN"/>
        <w:numPr>
          <w:ilvl w:val="0"/>
          <w:numId w:val="0"/>
        </w:numPr>
        <w:spacing w:line="360" w:lineRule="auto"/>
        <w:jc w:val="both"/>
        <w:rPr>
          <w:szCs w:val="19"/>
          <w:lang w:val="en-US"/>
        </w:rPr>
      </w:pPr>
    </w:p>
    <w:p w:rsidR="00AB4BD9" w:rsidRPr="00F06B5D" w:rsidRDefault="00BC6264" w:rsidP="00EF1E6E">
      <w:pPr>
        <w:pStyle w:val="AufzhlungspunkteCHG-MERIDIAN"/>
        <w:numPr>
          <w:ilvl w:val="0"/>
          <w:numId w:val="0"/>
        </w:numPr>
        <w:spacing w:line="360" w:lineRule="auto"/>
        <w:jc w:val="both"/>
        <w:rPr>
          <w:b/>
          <w:szCs w:val="19"/>
          <w:lang w:val="en-US"/>
        </w:rPr>
      </w:pPr>
      <w:r w:rsidRPr="00F06B5D">
        <w:rPr>
          <w:b/>
          <w:lang w:val="en-US"/>
        </w:rPr>
        <w:t xml:space="preserve">Shareholding in service provider Abakus it AG sold </w:t>
      </w:r>
    </w:p>
    <w:p w:rsidR="00F16469" w:rsidRPr="00F06B5D" w:rsidRDefault="00551174" w:rsidP="004D2B7E">
      <w:pPr>
        <w:pStyle w:val="AufzhlungspunkteCHG-MERIDIAN"/>
        <w:numPr>
          <w:ilvl w:val="0"/>
          <w:numId w:val="0"/>
        </w:numPr>
        <w:spacing w:line="360" w:lineRule="auto"/>
        <w:jc w:val="both"/>
        <w:rPr>
          <w:szCs w:val="19"/>
          <w:lang w:val="en-US"/>
        </w:rPr>
      </w:pPr>
      <w:r w:rsidRPr="00F06B5D">
        <w:rPr>
          <w:lang w:val="en-US"/>
        </w:rPr>
        <w:t xml:space="preserve">Since the turn of the millennium, CHG-MERIDIAN has evolved from a traditional German IT financing company into a multinational technology manager that offers full-service solutions throughout the product lifecycle of high-value capital equipment for information technologies, industrial technologies, and healthcare technologies. Its shareholding in Abakus it AG – which is based in Waldburg, southern Germany – was a remnant from the early period of this development. This shareholding was sold in 2014. </w:t>
      </w:r>
    </w:p>
    <w:p w:rsidR="00F16469" w:rsidRPr="00F06B5D" w:rsidRDefault="00F16469" w:rsidP="004D2B7E">
      <w:pPr>
        <w:pStyle w:val="AufzhlungspunkteCHG-MERIDIAN"/>
        <w:numPr>
          <w:ilvl w:val="0"/>
          <w:numId w:val="0"/>
        </w:numPr>
        <w:spacing w:line="360" w:lineRule="auto"/>
        <w:jc w:val="both"/>
        <w:rPr>
          <w:szCs w:val="19"/>
          <w:lang w:val="en-US"/>
        </w:rPr>
      </w:pPr>
    </w:p>
    <w:p w:rsidR="00551174" w:rsidRPr="00F06B5D" w:rsidRDefault="0077119D" w:rsidP="004D2B7E">
      <w:pPr>
        <w:pStyle w:val="AufzhlungspunkteCHG-MERIDIAN"/>
        <w:numPr>
          <w:ilvl w:val="0"/>
          <w:numId w:val="0"/>
        </w:numPr>
        <w:spacing w:line="360" w:lineRule="auto"/>
        <w:jc w:val="both"/>
        <w:rPr>
          <w:szCs w:val="19"/>
          <w:lang w:val="en-US"/>
        </w:rPr>
      </w:pPr>
      <w:r w:rsidRPr="00F06B5D">
        <w:rPr>
          <w:lang w:val="en-US"/>
        </w:rPr>
        <w:t>Abakus it AG – an engineering firm that provides information technology (IT) solutions and services – remains a key partner. "We and our solutions portfolio have evolved considerably in recent years, and we now work with a number of partners to ensure that we can deliver our services both nationally and internationally," explained Mossakowski. "It therefore no longer makes sense for us to maintain a direct shareholding in a single service provider." The parties involved have agreed not to disclose the purchase price. There will be no changes to the number of employees at Abakus it AG nor to its management team.</w:t>
      </w:r>
    </w:p>
    <w:p w:rsidR="009C6CA1" w:rsidRPr="00F06B5D" w:rsidRDefault="009C6CA1" w:rsidP="004D2B7E">
      <w:pPr>
        <w:pStyle w:val="AufzhlungspunkteCHG-MERIDIAN"/>
        <w:numPr>
          <w:ilvl w:val="0"/>
          <w:numId w:val="0"/>
        </w:numPr>
        <w:spacing w:line="360" w:lineRule="auto"/>
        <w:jc w:val="both"/>
        <w:rPr>
          <w:szCs w:val="19"/>
          <w:lang w:val="en-US"/>
        </w:rPr>
      </w:pPr>
    </w:p>
    <w:p w:rsidR="004D2B7E" w:rsidRPr="00F06B5D" w:rsidRDefault="00FA7A6D" w:rsidP="000E2257">
      <w:pPr>
        <w:spacing w:line="360" w:lineRule="auto"/>
        <w:ind w:right="-1"/>
        <w:rPr>
          <w:b/>
          <w:szCs w:val="19"/>
          <w:lang w:val="en-US"/>
        </w:rPr>
      </w:pPr>
      <w:r w:rsidRPr="00F06B5D">
        <w:rPr>
          <w:b/>
          <w:lang w:val="en-US"/>
        </w:rPr>
        <w:t xml:space="preserve">CHG-MERIDIAN continues to strengthen its service activities </w:t>
      </w:r>
    </w:p>
    <w:p w:rsidR="00035798" w:rsidRPr="00F06B5D" w:rsidRDefault="00FA7A6D" w:rsidP="00FA7A6D">
      <w:pPr>
        <w:pStyle w:val="AufzhlungspunkteCHG-MERIDIAN"/>
        <w:numPr>
          <w:ilvl w:val="0"/>
          <w:numId w:val="0"/>
        </w:numPr>
        <w:spacing w:line="360" w:lineRule="auto"/>
        <w:ind w:right="-1"/>
        <w:jc w:val="both"/>
        <w:rPr>
          <w:szCs w:val="19"/>
          <w:lang w:val="en-US"/>
        </w:rPr>
      </w:pPr>
      <w:r w:rsidRPr="00F06B5D">
        <w:rPr>
          <w:lang w:val="en-US"/>
        </w:rPr>
        <w:t xml:space="preserve">The Company continued to invest heavily in establishing and expanding its service business in 2014. Two IT solution segments – Software Solutions (SWS) and Employer Benefits Solutions (EBS) – were totally reconfigured. CHG-MERIDIAN hopes that these two IT solution segments will enable it to achieve even greater penetration in the market for services throughout the IT lifecycles of both existing and new customers. </w:t>
      </w:r>
    </w:p>
    <w:p w:rsidR="00035798" w:rsidRPr="00F06B5D" w:rsidRDefault="00035798" w:rsidP="00FA7A6D">
      <w:pPr>
        <w:pStyle w:val="AufzhlungspunkteCHG-MERIDIAN"/>
        <w:numPr>
          <w:ilvl w:val="0"/>
          <w:numId w:val="0"/>
        </w:numPr>
        <w:spacing w:line="360" w:lineRule="auto"/>
        <w:ind w:right="-1"/>
        <w:jc w:val="both"/>
        <w:rPr>
          <w:szCs w:val="19"/>
          <w:lang w:val="en-US"/>
        </w:rPr>
      </w:pPr>
    </w:p>
    <w:p w:rsidR="00035798" w:rsidRPr="00F06B5D" w:rsidRDefault="00035798" w:rsidP="00FA7A6D">
      <w:pPr>
        <w:pStyle w:val="AufzhlungspunkteCHG-MERIDIAN"/>
        <w:numPr>
          <w:ilvl w:val="0"/>
          <w:numId w:val="0"/>
        </w:numPr>
        <w:spacing w:line="360" w:lineRule="auto"/>
        <w:ind w:right="-1"/>
        <w:jc w:val="both"/>
        <w:rPr>
          <w:szCs w:val="19"/>
          <w:lang w:val="en-US"/>
        </w:rPr>
      </w:pPr>
      <w:r w:rsidRPr="00F06B5D">
        <w:rPr>
          <w:lang w:val="en-US"/>
        </w:rPr>
        <w:lastRenderedPageBreak/>
        <w:t xml:space="preserve">The Company once again systematically expanded its service operations in 2014. The ongoing development and refinement of its strategically important service business focused on putting new organizational structures in place, continuing to establish its Service Delivery segment – which included downstream regional service structures in Germany, Austria, and Switzerland – and further improving the training and skills of its service staff in line with internationally recognized project management standards. </w:t>
      </w:r>
    </w:p>
    <w:p w:rsidR="004D2B7E" w:rsidRPr="00F06B5D" w:rsidRDefault="00FA7A6D" w:rsidP="00035798">
      <w:pPr>
        <w:pStyle w:val="AufzhlungspunkteCHG-MERIDIAN"/>
        <w:numPr>
          <w:ilvl w:val="0"/>
          <w:numId w:val="0"/>
        </w:numPr>
        <w:spacing w:line="360" w:lineRule="auto"/>
        <w:ind w:right="-1"/>
        <w:jc w:val="both"/>
        <w:rPr>
          <w:szCs w:val="19"/>
          <w:lang w:val="en-US"/>
        </w:rPr>
      </w:pPr>
      <w:r w:rsidRPr="00F06B5D">
        <w:rPr>
          <w:lang w:val="en-US"/>
        </w:rPr>
        <w:t xml:space="preserve"> </w:t>
      </w:r>
    </w:p>
    <w:p w:rsidR="00F65BB6" w:rsidRPr="00F06B5D" w:rsidRDefault="001C620E" w:rsidP="000E2257">
      <w:pPr>
        <w:spacing w:line="360" w:lineRule="auto"/>
        <w:ind w:right="-1"/>
        <w:rPr>
          <w:b/>
          <w:szCs w:val="19"/>
          <w:lang w:val="en-US"/>
        </w:rPr>
      </w:pPr>
      <w:r w:rsidRPr="00F06B5D">
        <w:rPr>
          <w:b/>
          <w:lang w:val="en-US"/>
        </w:rPr>
        <w:t>Remarketing and secure data erasure at an all-time high</w:t>
      </w:r>
    </w:p>
    <w:p w:rsidR="008F3263" w:rsidRPr="00F06B5D" w:rsidRDefault="00035798" w:rsidP="00B14E86">
      <w:pPr>
        <w:spacing w:line="360" w:lineRule="auto"/>
        <w:ind w:right="-1"/>
        <w:rPr>
          <w:szCs w:val="19"/>
          <w:lang w:val="en-US"/>
        </w:rPr>
      </w:pPr>
      <w:r w:rsidRPr="00F06B5D">
        <w:rPr>
          <w:lang w:val="en-US"/>
        </w:rPr>
        <w:t xml:space="preserve">Other service segments that delivered an excellent performance in 2014 included the professional erasure of data from IT equipment at the end of its useful life as well as the reconditioning and remarketing of used devices at CHG-MERIDIAN's proprietary Technology and Service Centers near Frankfurt (Germany) and in Skien (Norway). 456,000 assets (2013: 398,000) – some 15 percent more than in the previous year – were refurbished for the secondary market. 2014 was the first year in which more than 100,000 devices (2013: 87,000) underwent a professional, officially certified, secure data erasure process as an additional service for customers. </w:t>
      </w:r>
    </w:p>
    <w:p w:rsidR="00BC6264" w:rsidRPr="00F06B5D" w:rsidRDefault="00BC6264" w:rsidP="00FF1B29">
      <w:pPr>
        <w:ind w:right="1417"/>
        <w:rPr>
          <w:b/>
          <w:szCs w:val="19"/>
          <w:lang w:val="en-US"/>
        </w:rPr>
      </w:pPr>
    </w:p>
    <w:p w:rsidR="00FF1B29" w:rsidRPr="00F06B5D" w:rsidRDefault="00FF1B29" w:rsidP="00FF1B29">
      <w:pPr>
        <w:ind w:right="1417"/>
        <w:rPr>
          <w:b/>
          <w:szCs w:val="19"/>
          <w:lang w:val="en-US"/>
        </w:rPr>
      </w:pPr>
      <w:r w:rsidRPr="00F06B5D">
        <w:rPr>
          <w:b/>
          <w:lang w:val="en-US"/>
        </w:rPr>
        <w:t xml:space="preserve">Further information can be found at </w:t>
      </w:r>
    </w:p>
    <w:p w:rsidR="00FF1B29" w:rsidRPr="00F06B5D" w:rsidRDefault="00B7046E" w:rsidP="00FF1B29">
      <w:pPr>
        <w:spacing w:line="360" w:lineRule="auto"/>
        <w:ind w:right="1417"/>
        <w:rPr>
          <w:szCs w:val="19"/>
          <w:lang w:val="en-US"/>
        </w:rPr>
      </w:pPr>
      <w:hyperlink r:id="rId9" w:history="1">
        <w:r w:rsidR="003F76E8" w:rsidRPr="00F06B5D">
          <w:rPr>
            <w:color w:val="000000"/>
            <w:lang w:val="en-US"/>
          </w:rPr>
          <w:t xml:space="preserve">www.chg-meridian.com. </w:t>
        </w:r>
      </w:hyperlink>
      <w:r w:rsidR="003F76E8" w:rsidRPr="00F06B5D">
        <w:rPr>
          <w:lang w:val="en-US"/>
        </w:rPr>
        <w:t xml:space="preserve"> </w:t>
      </w:r>
    </w:p>
    <w:p w:rsidR="002957A7" w:rsidRPr="00F06B5D" w:rsidRDefault="002957A7" w:rsidP="002957A7">
      <w:pPr>
        <w:rPr>
          <w:b/>
          <w:szCs w:val="19"/>
          <w:lang w:val="en-US"/>
        </w:rPr>
      </w:pPr>
    </w:p>
    <w:p w:rsidR="002957A7" w:rsidRPr="00F06B5D" w:rsidRDefault="002957A7" w:rsidP="002957A7">
      <w:pPr>
        <w:spacing w:line="360" w:lineRule="auto"/>
        <w:jc w:val="left"/>
        <w:rPr>
          <w:sz w:val="22"/>
          <w:szCs w:val="19"/>
          <w:lang w:val="en-US"/>
        </w:rPr>
      </w:pPr>
      <w:r w:rsidRPr="00F06B5D">
        <w:rPr>
          <w:b/>
          <w:caps/>
          <w:color w:val="7A716F"/>
          <w:sz w:val="22"/>
          <w:lang w:val="en-US"/>
        </w:rPr>
        <w:t>The CHG-MERIDIAN Group's key performance indicators for 2014 (December 31, 2014)</w:t>
      </w:r>
    </w:p>
    <w:tbl>
      <w:tblPr>
        <w:tblW w:w="7455" w:type="dxa"/>
        <w:tblInd w:w="70" w:type="dxa"/>
        <w:tblLayout w:type="fixed"/>
        <w:tblCellMar>
          <w:left w:w="70" w:type="dxa"/>
          <w:right w:w="70" w:type="dxa"/>
        </w:tblCellMar>
        <w:tblLook w:val="04A0" w:firstRow="1" w:lastRow="0" w:firstColumn="1" w:lastColumn="0" w:noHBand="0" w:noVBand="1"/>
      </w:tblPr>
      <w:tblGrid>
        <w:gridCol w:w="3825"/>
        <w:gridCol w:w="1815"/>
        <w:gridCol w:w="1815"/>
      </w:tblGrid>
      <w:tr w:rsidR="002957A7" w:rsidRPr="00F06B5D" w:rsidTr="002957A7">
        <w:trPr>
          <w:trHeight w:val="210"/>
        </w:trPr>
        <w:tc>
          <w:tcPr>
            <w:tcW w:w="3825" w:type="dxa"/>
            <w:shd w:val="clear" w:color="auto" w:fill="ACA53D"/>
            <w:noWrap/>
            <w:hideMark/>
          </w:tcPr>
          <w:p w:rsidR="002957A7" w:rsidRPr="00F06B5D" w:rsidRDefault="002957A7" w:rsidP="00E45729">
            <w:pPr>
              <w:rPr>
                <w:b/>
                <w:color w:val="F8F8F8"/>
                <w:szCs w:val="19"/>
                <w:lang w:val="en-US"/>
              </w:rPr>
            </w:pPr>
            <w:r w:rsidRPr="00F06B5D">
              <w:rPr>
                <w:b/>
                <w:color w:val="F8F8F8"/>
                <w:lang w:val="en-US"/>
              </w:rPr>
              <w:t>€ 000's</w:t>
            </w:r>
          </w:p>
        </w:tc>
        <w:tc>
          <w:tcPr>
            <w:tcW w:w="1815" w:type="dxa"/>
            <w:shd w:val="clear" w:color="auto" w:fill="ACA53D"/>
            <w:noWrap/>
            <w:hideMark/>
          </w:tcPr>
          <w:p w:rsidR="002957A7" w:rsidRPr="00F06B5D" w:rsidRDefault="002957A7" w:rsidP="002957A7">
            <w:pPr>
              <w:jc w:val="right"/>
              <w:rPr>
                <w:b/>
                <w:color w:val="F8F8F8"/>
                <w:szCs w:val="19"/>
                <w:lang w:val="en-US"/>
              </w:rPr>
            </w:pPr>
            <w:r w:rsidRPr="00F06B5D">
              <w:rPr>
                <w:b/>
                <w:color w:val="F8F8F8"/>
                <w:lang w:val="en-US"/>
              </w:rPr>
              <w:t xml:space="preserve">             2014</w:t>
            </w:r>
          </w:p>
        </w:tc>
        <w:tc>
          <w:tcPr>
            <w:tcW w:w="1815" w:type="dxa"/>
            <w:shd w:val="clear" w:color="auto" w:fill="ACA53D"/>
            <w:noWrap/>
            <w:hideMark/>
          </w:tcPr>
          <w:p w:rsidR="002957A7" w:rsidRPr="00F06B5D" w:rsidRDefault="002957A7" w:rsidP="00E45729">
            <w:pPr>
              <w:jc w:val="right"/>
              <w:rPr>
                <w:b/>
                <w:color w:val="F8F8F8"/>
                <w:szCs w:val="19"/>
                <w:lang w:val="en-US"/>
              </w:rPr>
            </w:pPr>
            <w:r w:rsidRPr="00F06B5D">
              <w:rPr>
                <w:b/>
                <w:color w:val="F8F8F8"/>
                <w:lang w:val="en-US"/>
              </w:rPr>
              <w:t xml:space="preserve">                   2013</w:t>
            </w:r>
          </w:p>
        </w:tc>
      </w:tr>
      <w:tr w:rsidR="002957A7" w:rsidRPr="00F06B5D" w:rsidTr="002957A7">
        <w:trPr>
          <w:trHeight w:val="240"/>
        </w:trPr>
        <w:tc>
          <w:tcPr>
            <w:tcW w:w="3825" w:type="dxa"/>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Group lease originations</w:t>
            </w:r>
          </w:p>
        </w:tc>
        <w:tc>
          <w:tcPr>
            <w:tcW w:w="1815" w:type="dxa"/>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1,004,494</w:t>
            </w:r>
          </w:p>
        </w:tc>
        <w:tc>
          <w:tcPr>
            <w:tcW w:w="1815" w:type="dxa"/>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1,005,725</w:t>
            </w:r>
          </w:p>
        </w:tc>
      </w:tr>
      <w:tr w:rsidR="002957A7" w:rsidRPr="00F06B5D" w:rsidTr="002957A7">
        <w:trPr>
          <w:trHeight w:val="240"/>
        </w:trPr>
        <w:tc>
          <w:tcPr>
            <w:tcW w:w="3825" w:type="dxa"/>
            <w:shd w:val="clear" w:color="auto" w:fill="EEECE5" w:themeFill="background1" w:themeFillTint="66"/>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by geographic region:</w:t>
            </w:r>
          </w:p>
        </w:tc>
        <w:tc>
          <w:tcPr>
            <w:tcW w:w="1815" w:type="dxa"/>
            <w:shd w:val="clear" w:color="auto" w:fill="EEECE5" w:themeFill="background1" w:themeFillTint="66"/>
            <w:noWrap/>
            <w:vAlign w:val="bottom"/>
            <w:hideMark/>
          </w:tcPr>
          <w:p w:rsidR="002957A7" w:rsidRPr="00F06B5D" w:rsidRDefault="002957A7" w:rsidP="00E45729">
            <w:pPr>
              <w:spacing w:line="240" w:lineRule="auto"/>
              <w:jc w:val="left"/>
              <w:rPr>
                <w:rFonts w:ascii="Calibri" w:hAnsi="Calibri"/>
                <w:sz w:val="20"/>
                <w:szCs w:val="20"/>
                <w:lang w:val="en-US" w:eastAsia="de-DE"/>
              </w:rPr>
            </w:pPr>
          </w:p>
        </w:tc>
        <w:tc>
          <w:tcPr>
            <w:tcW w:w="1815" w:type="dxa"/>
            <w:shd w:val="clear" w:color="auto" w:fill="EEECE5" w:themeFill="background1" w:themeFillTint="66"/>
            <w:noWrap/>
            <w:vAlign w:val="bottom"/>
            <w:hideMark/>
          </w:tcPr>
          <w:p w:rsidR="002957A7" w:rsidRPr="00F06B5D" w:rsidRDefault="002957A7" w:rsidP="00E45729">
            <w:pPr>
              <w:spacing w:line="240" w:lineRule="auto"/>
              <w:jc w:val="left"/>
              <w:rPr>
                <w:rFonts w:ascii="Calibri" w:hAnsi="Calibri"/>
                <w:sz w:val="20"/>
                <w:szCs w:val="20"/>
                <w:lang w:val="en-US" w:eastAsia="de-DE"/>
              </w:rPr>
            </w:pPr>
          </w:p>
        </w:tc>
      </w:tr>
      <w:tr w:rsidR="002957A7" w:rsidRPr="00F06B5D" w:rsidTr="002957A7">
        <w:trPr>
          <w:trHeight w:val="240"/>
        </w:trPr>
        <w:tc>
          <w:tcPr>
            <w:tcW w:w="3825" w:type="dxa"/>
            <w:shd w:val="clear" w:color="auto" w:fill="EEECE5" w:themeFill="background1" w:themeFillTint="66"/>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Central Europe (Germany, Austria, Switzerland, Slovenia)</w:t>
            </w:r>
          </w:p>
        </w:tc>
        <w:tc>
          <w:tcPr>
            <w:tcW w:w="1815" w:type="dxa"/>
            <w:shd w:val="clear" w:color="auto" w:fill="EEECE5" w:themeFill="background1" w:themeFillTint="66"/>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517,689</w:t>
            </w:r>
          </w:p>
        </w:tc>
        <w:tc>
          <w:tcPr>
            <w:tcW w:w="1815" w:type="dxa"/>
            <w:shd w:val="clear" w:color="auto" w:fill="EEECE5" w:themeFill="background1" w:themeFillTint="66"/>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506,758</w:t>
            </w:r>
          </w:p>
        </w:tc>
      </w:tr>
      <w:tr w:rsidR="002957A7" w:rsidRPr="00F06B5D" w:rsidTr="002957A7">
        <w:trPr>
          <w:trHeight w:val="240"/>
        </w:trPr>
        <w:tc>
          <w:tcPr>
            <w:tcW w:w="3825" w:type="dxa"/>
            <w:shd w:val="clear" w:color="auto" w:fill="EEECE5" w:themeFill="background1" w:themeFillTint="66"/>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 xml:space="preserve">Western Europe </w:t>
            </w:r>
          </w:p>
        </w:tc>
        <w:tc>
          <w:tcPr>
            <w:tcW w:w="1815" w:type="dxa"/>
            <w:shd w:val="clear" w:color="auto" w:fill="EEECE5" w:themeFill="background1" w:themeFillTint="66"/>
            <w:noWrap/>
            <w:vAlign w:val="bottom"/>
            <w:hideMark/>
          </w:tcPr>
          <w:p w:rsidR="002957A7" w:rsidRPr="00F06B5D" w:rsidRDefault="002957A7" w:rsidP="002957A7">
            <w:pPr>
              <w:spacing w:line="240" w:lineRule="auto"/>
              <w:jc w:val="right"/>
              <w:rPr>
                <w:rFonts w:eastAsia="Times New Roman" w:cs="Arial"/>
                <w:szCs w:val="19"/>
                <w:lang w:val="en-US" w:eastAsia="de-DE"/>
              </w:rPr>
            </w:pPr>
            <w:r w:rsidRPr="00F06B5D">
              <w:rPr>
                <w:rFonts w:eastAsia="Times New Roman" w:cs="Arial"/>
                <w:lang w:val="en-US"/>
              </w:rPr>
              <w:t>155,714</w:t>
            </w:r>
          </w:p>
        </w:tc>
        <w:tc>
          <w:tcPr>
            <w:tcW w:w="1815" w:type="dxa"/>
            <w:shd w:val="clear" w:color="auto" w:fill="EEECE5" w:themeFill="background1" w:themeFillTint="66"/>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179,834</w:t>
            </w:r>
          </w:p>
        </w:tc>
      </w:tr>
      <w:tr w:rsidR="002957A7" w:rsidRPr="00F06B5D" w:rsidTr="002957A7">
        <w:trPr>
          <w:trHeight w:val="240"/>
        </w:trPr>
        <w:tc>
          <w:tcPr>
            <w:tcW w:w="3825" w:type="dxa"/>
            <w:shd w:val="clear" w:color="auto" w:fill="EEECE5" w:themeFill="background1" w:themeFillTint="66"/>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Southern Europe</w:t>
            </w:r>
          </w:p>
        </w:tc>
        <w:tc>
          <w:tcPr>
            <w:tcW w:w="1815" w:type="dxa"/>
            <w:shd w:val="clear" w:color="auto" w:fill="EEECE5" w:themeFill="background1" w:themeFillTint="66"/>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115,785</w:t>
            </w:r>
          </w:p>
        </w:tc>
        <w:tc>
          <w:tcPr>
            <w:tcW w:w="1815" w:type="dxa"/>
            <w:shd w:val="clear" w:color="auto" w:fill="EEECE5" w:themeFill="background1" w:themeFillTint="66"/>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116,229</w:t>
            </w:r>
          </w:p>
        </w:tc>
      </w:tr>
      <w:tr w:rsidR="002957A7" w:rsidRPr="00F06B5D" w:rsidTr="002957A7">
        <w:trPr>
          <w:trHeight w:val="240"/>
        </w:trPr>
        <w:tc>
          <w:tcPr>
            <w:tcW w:w="3825" w:type="dxa"/>
            <w:shd w:val="clear" w:color="auto" w:fill="EEECE5" w:themeFill="background1" w:themeFillTint="66"/>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Eastern Europe</w:t>
            </w:r>
          </w:p>
        </w:tc>
        <w:tc>
          <w:tcPr>
            <w:tcW w:w="1815" w:type="dxa"/>
            <w:shd w:val="clear" w:color="auto" w:fill="EEECE5" w:themeFill="background1" w:themeFillTint="66"/>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21,177</w:t>
            </w:r>
          </w:p>
        </w:tc>
        <w:tc>
          <w:tcPr>
            <w:tcW w:w="1815" w:type="dxa"/>
            <w:shd w:val="clear" w:color="auto" w:fill="EEECE5" w:themeFill="background1" w:themeFillTint="66"/>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27,439</w:t>
            </w:r>
          </w:p>
        </w:tc>
      </w:tr>
      <w:tr w:rsidR="002957A7" w:rsidRPr="00F06B5D" w:rsidTr="002957A7">
        <w:trPr>
          <w:trHeight w:val="240"/>
        </w:trPr>
        <w:tc>
          <w:tcPr>
            <w:tcW w:w="3825" w:type="dxa"/>
            <w:shd w:val="clear" w:color="auto" w:fill="EEECE5" w:themeFill="background1" w:themeFillTint="66"/>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Americas</w:t>
            </w:r>
          </w:p>
        </w:tc>
        <w:tc>
          <w:tcPr>
            <w:tcW w:w="1815" w:type="dxa"/>
            <w:shd w:val="clear" w:color="auto" w:fill="EEECE5" w:themeFill="background1" w:themeFillTint="66"/>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171,418</w:t>
            </w:r>
          </w:p>
        </w:tc>
        <w:tc>
          <w:tcPr>
            <w:tcW w:w="1815" w:type="dxa"/>
            <w:shd w:val="clear" w:color="auto" w:fill="EEECE5" w:themeFill="background1" w:themeFillTint="66"/>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175,465</w:t>
            </w:r>
          </w:p>
        </w:tc>
      </w:tr>
      <w:tr w:rsidR="002957A7" w:rsidRPr="00F06B5D" w:rsidTr="002957A7">
        <w:trPr>
          <w:trHeight w:val="240"/>
        </w:trPr>
        <w:tc>
          <w:tcPr>
            <w:tcW w:w="3825" w:type="dxa"/>
            <w:shd w:val="clear" w:color="auto" w:fill="EEECE5" w:themeFill="background1" w:themeFillTint="66"/>
            <w:noWrap/>
            <w:vAlign w:val="bottom"/>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Northern Europe*</w:t>
            </w:r>
          </w:p>
        </w:tc>
        <w:tc>
          <w:tcPr>
            <w:tcW w:w="1815" w:type="dxa"/>
            <w:shd w:val="clear" w:color="auto" w:fill="EEECE5" w:themeFill="background1" w:themeFillTint="66"/>
            <w:noWrap/>
            <w:vAlign w:val="bottom"/>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22,711</w:t>
            </w:r>
          </w:p>
        </w:tc>
        <w:tc>
          <w:tcPr>
            <w:tcW w:w="1815" w:type="dxa"/>
            <w:shd w:val="clear" w:color="auto" w:fill="EEECE5" w:themeFill="background1" w:themeFillTint="66"/>
            <w:noWrap/>
            <w:vAlign w:val="bottom"/>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 xml:space="preserve">- - </w:t>
            </w:r>
          </w:p>
        </w:tc>
      </w:tr>
      <w:tr w:rsidR="002957A7" w:rsidRPr="00F06B5D" w:rsidTr="002957A7">
        <w:trPr>
          <w:trHeight w:val="240"/>
        </w:trPr>
        <w:tc>
          <w:tcPr>
            <w:tcW w:w="3825" w:type="dxa"/>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Domestic (Germany)</w:t>
            </w:r>
          </w:p>
        </w:tc>
        <w:tc>
          <w:tcPr>
            <w:tcW w:w="1815" w:type="dxa"/>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491,149</w:t>
            </w:r>
          </w:p>
        </w:tc>
        <w:tc>
          <w:tcPr>
            <w:tcW w:w="1815" w:type="dxa"/>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480,743</w:t>
            </w:r>
          </w:p>
        </w:tc>
      </w:tr>
      <w:tr w:rsidR="002957A7" w:rsidRPr="00F06B5D" w:rsidTr="002957A7">
        <w:trPr>
          <w:trHeight w:val="240"/>
        </w:trPr>
        <w:tc>
          <w:tcPr>
            <w:tcW w:w="3825" w:type="dxa"/>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International</w:t>
            </w:r>
          </w:p>
        </w:tc>
        <w:tc>
          <w:tcPr>
            <w:tcW w:w="1815" w:type="dxa"/>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513,345</w:t>
            </w:r>
          </w:p>
        </w:tc>
        <w:tc>
          <w:tcPr>
            <w:tcW w:w="1815" w:type="dxa"/>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524,982</w:t>
            </w:r>
          </w:p>
        </w:tc>
      </w:tr>
      <w:tr w:rsidR="002957A7" w:rsidRPr="00F06B5D" w:rsidTr="002957A7">
        <w:trPr>
          <w:trHeight w:val="240"/>
        </w:trPr>
        <w:tc>
          <w:tcPr>
            <w:tcW w:w="3825" w:type="dxa"/>
            <w:shd w:val="clear" w:color="auto" w:fill="EEECE5"/>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New customer lease originations</w:t>
            </w:r>
          </w:p>
        </w:tc>
        <w:tc>
          <w:tcPr>
            <w:tcW w:w="1815" w:type="dxa"/>
            <w:shd w:val="clear" w:color="auto" w:fill="EEECE5"/>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299,243</w:t>
            </w:r>
          </w:p>
        </w:tc>
        <w:tc>
          <w:tcPr>
            <w:tcW w:w="1815" w:type="dxa"/>
            <w:shd w:val="clear" w:color="auto" w:fill="EEECE5"/>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362,089</w:t>
            </w:r>
          </w:p>
        </w:tc>
      </w:tr>
      <w:tr w:rsidR="002957A7" w:rsidRPr="00F06B5D" w:rsidTr="002957A7">
        <w:trPr>
          <w:trHeight w:val="240"/>
        </w:trPr>
        <w:tc>
          <w:tcPr>
            <w:tcW w:w="3825" w:type="dxa"/>
            <w:noWrap/>
            <w:vAlign w:val="bottom"/>
            <w:hideMark/>
          </w:tcPr>
          <w:p w:rsidR="002957A7" w:rsidRPr="00F06B5D" w:rsidRDefault="002957A7" w:rsidP="00E45729">
            <w:pPr>
              <w:spacing w:line="240" w:lineRule="auto"/>
              <w:jc w:val="left"/>
              <w:rPr>
                <w:rFonts w:eastAsia="Times New Roman" w:cs="Arial"/>
                <w:color w:val="000000"/>
                <w:szCs w:val="19"/>
                <w:lang w:val="en-US" w:eastAsia="de-DE"/>
              </w:rPr>
            </w:pPr>
            <w:r w:rsidRPr="00F06B5D">
              <w:rPr>
                <w:rFonts w:eastAsia="Times New Roman" w:cs="Arial"/>
                <w:color w:val="000000"/>
                <w:lang w:val="en-US"/>
              </w:rPr>
              <w:t>Group gross profit**</w:t>
            </w:r>
          </w:p>
        </w:tc>
        <w:tc>
          <w:tcPr>
            <w:tcW w:w="1815" w:type="dxa"/>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151,928</w:t>
            </w:r>
          </w:p>
        </w:tc>
        <w:tc>
          <w:tcPr>
            <w:tcW w:w="1815" w:type="dxa"/>
            <w:noWrap/>
            <w:vAlign w:val="bottom"/>
            <w:hideMark/>
          </w:tcPr>
          <w:p w:rsidR="002957A7" w:rsidRPr="00F06B5D" w:rsidRDefault="002957A7" w:rsidP="00E45729">
            <w:pPr>
              <w:spacing w:line="240" w:lineRule="auto"/>
              <w:jc w:val="right"/>
              <w:rPr>
                <w:rFonts w:eastAsia="Times New Roman" w:cs="Arial"/>
                <w:szCs w:val="19"/>
                <w:lang w:val="en-US" w:eastAsia="de-DE"/>
              </w:rPr>
            </w:pPr>
            <w:r w:rsidRPr="00F06B5D">
              <w:rPr>
                <w:rFonts w:eastAsia="Times New Roman" w:cs="Arial"/>
                <w:lang w:val="en-US"/>
              </w:rPr>
              <w:t>149,834</w:t>
            </w:r>
          </w:p>
        </w:tc>
      </w:tr>
    </w:tbl>
    <w:p w:rsidR="002957A7" w:rsidRPr="00F06B5D" w:rsidRDefault="002957A7" w:rsidP="002957A7">
      <w:pPr>
        <w:jc w:val="left"/>
        <w:rPr>
          <w:sz w:val="10"/>
          <w:szCs w:val="10"/>
          <w:lang w:val="en-US"/>
        </w:rPr>
      </w:pPr>
      <w:r w:rsidRPr="00F06B5D">
        <w:rPr>
          <w:sz w:val="10"/>
          <w:lang w:val="en-US"/>
        </w:rPr>
        <w:t xml:space="preserve">* This is the first year in which the northern Europe region has been included in CHG-MERIDIAN's annual financial results. CHG-MERIDIAN acquired the Norway-based ACENTO Group in 2014. </w:t>
      </w:r>
    </w:p>
    <w:p w:rsidR="002957A7" w:rsidRPr="00F06B5D" w:rsidRDefault="00FB445E" w:rsidP="002957A7">
      <w:pPr>
        <w:jc w:val="left"/>
        <w:rPr>
          <w:sz w:val="10"/>
          <w:szCs w:val="10"/>
          <w:lang w:val="en-US"/>
        </w:rPr>
      </w:pPr>
      <w:r>
        <w:rPr>
          <w:sz w:val="10"/>
          <w:lang w:val="en-US"/>
        </w:rPr>
        <w:t>*</w:t>
      </w:r>
      <w:r w:rsidR="002957A7" w:rsidRPr="00F06B5D">
        <w:rPr>
          <w:sz w:val="10"/>
          <w:lang w:val="en-US"/>
        </w:rPr>
        <w:t>* Gross profit is defined as the present value of all new leases and remarketed equipment minus direct funding and acquisition costs.</w:t>
      </w:r>
    </w:p>
    <w:p w:rsidR="0061159A" w:rsidRDefault="0061159A" w:rsidP="00BB0086">
      <w:pPr>
        <w:rPr>
          <w:rFonts w:cs="Arial"/>
          <w:b/>
          <w:noProof/>
          <w:sz w:val="14"/>
          <w:szCs w:val="14"/>
          <w:lang w:val="en-US"/>
        </w:rPr>
      </w:pPr>
    </w:p>
    <w:p w:rsidR="00FB445E" w:rsidRDefault="00FB445E" w:rsidP="00BB0086">
      <w:pPr>
        <w:rPr>
          <w:rFonts w:cs="Arial"/>
          <w:b/>
          <w:noProof/>
          <w:sz w:val="14"/>
          <w:szCs w:val="14"/>
          <w:lang w:val="en-US"/>
        </w:rPr>
      </w:pPr>
      <w:bookmarkStart w:id="0" w:name="_GoBack"/>
      <w:bookmarkEnd w:id="0"/>
    </w:p>
    <w:p w:rsidR="00BB0086" w:rsidRPr="00FB445E" w:rsidRDefault="00BB0086" w:rsidP="00BB0086">
      <w:pPr>
        <w:rPr>
          <w:b/>
          <w:sz w:val="16"/>
          <w:szCs w:val="18"/>
          <w:lang w:val="en-US"/>
        </w:rPr>
      </w:pPr>
      <w:r w:rsidRPr="00FB445E">
        <w:rPr>
          <w:b/>
          <w:sz w:val="16"/>
          <w:szCs w:val="18"/>
          <w:lang w:val="en-US"/>
        </w:rPr>
        <w:t>About CHG-MERIDIAN</w:t>
      </w:r>
    </w:p>
    <w:p w:rsidR="00BB0086" w:rsidRPr="00FB445E" w:rsidRDefault="00BB0086" w:rsidP="00BB0086">
      <w:pPr>
        <w:pStyle w:val="AufzhlungspunkteCHG-MERIDIAN"/>
        <w:numPr>
          <w:ilvl w:val="0"/>
          <w:numId w:val="0"/>
        </w:numPr>
        <w:spacing w:line="240" w:lineRule="auto"/>
        <w:jc w:val="both"/>
        <w:rPr>
          <w:sz w:val="16"/>
          <w:szCs w:val="18"/>
          <w:lang w:val="en-US"/>
        </w:rPr>
      </w:pPr>
      <w:r w:rsidRPr="00FB445E">
        <w:rPr>
          <w:sz w:val="16"/>
          <w:szCs w:val="18"/>
          <w:lang w:val="en-US"/>
        </w:rPr>
        <w:t>CHG-MERIDIAN is one of the world's leading non-captive providers of technology management in the fields of IT, industry, and healthcare. CHG-MERIDIAN has a workforce of approximately 850 professionals and offers one-stop management of customers' technology infrastructure. Its product range includes consulting, financial and operational services, as well as remarketing services for used equipment at its two proprietary Technology and Service Centers in Germany and Norway. CHG-MERIDIAN offers efficient technology management for large corporations, small and medium-sized enterprises, and public-sector clients. It provides services for over 10,000 customers around the world and manages technology investments in excess of €4.2 billion. More than 1,600 of its customers also monitor their technology portfolios online using the TESMA</w:t>
      </w:r>
      <w:r w:rsidRPr="00FB445E">
        <w:rPr>
          <w:sz w:val="16"/>
          <w:szCs w:val="18"/>
          <w:vertAlign w:val="superscript"/>
          <w:lang w:val="en-US"/>
        </w:rPr>
        <w:t xml:space="preserve">© </w:t>
      </w:r>
      <w:r w:rsidRPr="00FB445E">
        <w:rPr>
          <w:sz w:val="16"/>
          <w:szCs w:val="18"/>
          <w:lang w:val="en-US"/>
        </w:rPr>
        <w:t>Online technology and service management system. The company has a global presence with 40 branch offices in 23 countries and is headquartered in Weingarten, Southern Germany.</w:t>
      </w:r>
    </w:p>
    <w:p w:rsidR="0061159A" w:rsidRPr="00FB445E" w:rsidRDefault="0061159A" w:rsidP="00BB0086">
      <w:pPr>
        <w:pStyle w:val="AufzhlungspunkteCHG-MERIDIAN"/>
        <w:numPr>
          <w:ilvl w:val="0"/>
          <w:numId w:val="0"/>
        </w:numPr>
        <w:spacing w:line="240" w:lineRule="auto"/>
        <w:jc w:val="both"/>
        <w:rPr>
          <w:sz w:val="16"/>
          <w:szCs w:val="18"/>
          <w:lang w:val="en-US"/>
        </w:rPr>
      </w:pPr>
    </w:p>
    <w:p w:rsidR="00A43742" w:rsidRPr="00FB445E" w:rsidRDefault="00BB0086" w:rsidP="0061159A">
      <w:pPr>
        <w:rPr>
          <w:rFonts w:cs="Arial"/>
          <w:noProof/>
          <w:sz w:val="14"/>
          <w:szCs w:val="16"/>
          <w:lang w:val="en-US"/>
        </w:rPr>
      </w:pPr>
      <w:r w:rsidRPr="00FB445E">
        <w:rPr>
          <w:rFonts w:cs="Arial"/>
          <w:noProof/>
          <w:sz w:val="16"/>
          <w:szCs w:val="18"/>
          <w:lang w:val="en-US"/>
        </w:rPr>
        <w:t>Efficient Technology Management by CHG-MERIDIAN</w:t>
      </w:r>
      <w:r w:rsidRPr="00FB445E">
        <w:rPr>
          <w:rFonts w:cs="Arial"/>
          <w:noProof/>
          <w:sz w:val="16"/>
          <w:szCs w:val="18"/>
          <w:vertAlign w:val="superscript"/>
          <w:lang w:val="en-US"/>
        </w:rPr>
        <w:t>®</w:t>
      </w:r>
      <w:r w:rsidRPr="00FB445E">
        <w:rPr>
          <w:rFonts w:cs="Arial"/>
          <w:noProof/>
          <w:sz w:val="16"/>
          <w:szCs w:val="18"/>
          <w:lang w:val="en-US"/>
        </w:rPr>
        <w:t xml:space="preserve"> </w:t>
      </w:r>
    </w:p>
    <w:sectPr w:rsidR="00A43742" w:rsidRPr="00FB445E" w:rsidSect="0031394F">
      <w:headerReference w:type="default" r:id="rId10"/>
      <w:footerReference w:type="default" r:id="rId11"/>
      <w:headerReference w:type="first" r:id="rId12"/>
      <w:footerReference w:type="first" r:id="rId13"/>
      <w:pgSz w:w="11906" w:h="16838" w:code="9"/>
      <w:pgMar w:top="1701" w:right="1531" w:bottom="1531" w:left="1304" w:header="624"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6E" w:rsidRDefault="00B7046E" w:rsidP="00193879">
      <w:pPr>
        <w:spacing w:line="240" w:lineRule="auto"/>
      </w:pPr>
      <w:r>
        <w:separator/>
      </w:r>
    </w:p>
  </w:endnote>
  <w:endnote w:type="continuationSeparator" w:id="0">
    <w:p w:rsidR="00B7046E" w:rsidRDefault="00B7046E"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6E" w:rsidRDefault="00B7046E">
    <w:pPr>
      <w:pStyle w:val="Fuzeile"/>
    </w:pPr>
    <w:r>
      <w:rPr>
        <w:noProof/>
        <w:lang w:val="en-US"/>
      </w:rPr>
      <w:drawing>
        <wp:anchor distT="0" distB="0" distL="114300" distR="114300" simplePos="0" relativeHeight="251662336" behindDoc="1" locked="0" layoutInCell="1" allowOverlap="1" wp14:anchorId="17BCEE69" wp14:editId="4612FA00">
          <wp:simplePos x="0" y="0"/>
          <wp:positionH relativeFrom="column">
            <wp:posOffset>-675005</wp:posOffset>
          </wp:positionH>
          <wp:positionV relativeFrom="paragraph">
            <wp:posOffset>329565</wp:posOffset>
          </wp:positionV>
          <wp:extent cx="7559675" cy="953770"/>
          <wp:effectExtent l="0" t="0" r="0" b="0"/>
          <wp:wrapTight wrapText="bothSides">
            <wp:wrapPolygon edited="0">
              <wp:start x="3484" y="0"/>
              <wp:lineTo x="0" y="1726"/>
              <wp:lineTo x="0" y="21140"/>
              <wp:lineTo x="17527" y="21140"/>
              <wp:lineTo x="15458" y="14237"/>
              <wp:lineTo x="13717" y="10354"/>
              <wp:lineTo x="12465" y="6471"/>
              <wp:lineTo x="7729" y="1294"/>
              <wp:lineTo x="5987" y="0"/>
              <wp:lineTo x="3484" y="0"/>
            </wp:wrapPolygon>
          </wp:wrapTight>
          <wp:docPr id="2" name="Grafik 2" descr="C:\Users\dvb\AppData\Local\Microsoft\Windows\Temporary Internet Files\Content.Outlook\RUTJEW0H\Boegen_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9537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6E" w:rsidRDefault="00B7046E">
    <w:pPr>
      <w:pStyle w:val="Fuzeile"/>
    </w:pPr>
    <w:r>
      <w:rPr>
        <w:noProof/>
        <w:lang w:val="en-US"/>
      </w:rPr>
      <w:drawing>
        <wp:anchor distT="0" distB="0" distL="114300" distR="114300" simplePos="0" relativeHeight="251660288" behindDoc="1" locked="0" layoutInCell="1" allowOverlap="1" wp14:anchorId="2F1226DC" wp14:editId="666992DF">
          <wp:simplePos x="0" y="0"/>
          <wp:positionH relativeFrom="column">
            <wp:posOffset>-827405</wp:posOffset>
          </wp:positionH>
          <wp:positionV relativeFrom="paragraph">
            <wp:posOffset>179070</wp:posOffset>
          </wp:positionV>
          <wp:extent cx="7559675" cy="953770"/>
          <wp:effectExtent l="0" t="0" r="0" b="0"/>
          <wp:wrapTight wrapText="bothSides">
            <wp:wrapPolygon edited="0">
              <wp:start x="3484" y="0"/>
              <wp:lineTo x="0" y="1726"/>
              <wp:lineTo x="0" y="21140"/>
              <wp:lineTo x="17527" y="21140"/>
              <wp:lineTo x="15458" y="14237"/>
              <wp:lineTo x="13717" y="10354"/>
              <wp:lineTo x="12465" y="6471"/>
              <wp:lineTo x="7729" y="1294"/>
              <wp:lineTo x="5987" y="0"/>
              <wp:lineTo x="3484" y="0"/>
            </wp:wrapPolygon>
          </wp:wrapTight>
          <wp:docPr id="1" name="Grafik 1" descr="C:\Users\dvb\AppData\Local\Microsoft\Windows\Temporary Internet Files\Content.Outlook\RUTJEW0H\Boegen_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9537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6E" w:rsidRDefault="00B7046E" w:rsidP="00193879">
      <w:pPr>
        <w:spacing w:line="240" w:lineRule="auto"/>
      </w:pPr>
      <w:r>
        <w:separator/>
      </w:r>
    </w:p>
  </w:footnote>
  <w:footnote w:type="continuationSeparator" w:id="0">
    <w:p w:rsidR="00B7046E" w:rsidRDefault="00B7046E" w:rsidP="00193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6E" w:rsidRPr="003F430F" w:rsidRDefault="00B7046E" w:rsidP="0066580C">
    <w:pPr>
      <w:framePr w:w="7859" w:h="227" w:hRule="exact" w:wrap="around" w:vAnchor="page" w:hAnchor="page" w:x="1305" w:y="1305" w:anchorLock="1"/>
      <w:spacing w:line="180" w:lineRule="exact"/>
      <w:rPr>
        <w:rFonts w:cs="Arial"/>
        <w:noProof/>
        <w:color w:val="6F6F6F"/>
        <w:sz w:val="14"/>
        <w:szCs w:val="14"/>
      </w:rPr>
    </w:pPr>
    <w:r>
      <w:rPr>
        <w:rFonts w:cs="Arial"/>
        <w:color w:val="6F6F6F"/>
        <w:sz w:val="14"/>
      </w:rPr>
      <w:t xml:space="preserve">Page </w:t>
    </w:r>
    <w:r w:rsidRPr="00B77EB2">
      <w:rPr>
        <w:rFonts w:cs="Arial"/>
        <w:color w:val="6F6F6F"/>
        <w:sz w:val="14"/>
        <w:szCs w:val="14"/>
        <w:lang w:val="de-DE"/>
      </w:rPr>
      <w:fldChar w:fldCharType="begin"/>
    </w:r>
    <w:r w:rsidRPr="00F06B5D">
      <w:rPr>
        <w:rFonts w:cs="Arial"/>
        <w:color w:val="6F6F6F"/>
        <w:sz w:val="14"/>
        <w:szCs w:val="14"/>
      </w:rPr>
      <w:instrText xml:space="preserve"> PAGE </w:instrText>
    </w:r>
    <w:r w:rsidRPr="00B77EB2">
      <w:rPr>
        <w:rFonts w:cs="Arial"/>
        <w:color w:val="6F6F6F"/>
        <w:sz w:val="14"/>
        <w:szCs w:val="14"/>
        <w:lang w:val="de-DE"/>
      </w:rPr>
      <w:fldChar w:fldCharType="separate"/>
    </w:r>
    <w:r w:rsidR="00A80C7B">
      <w:rPr>
        <w:rFonts w:cs="Arial"/>
        <w:noProof/>
        <w:color w:val="6F6F6F"/>
        <w:sz w:val="14"/>
        <w:szCs w:val="14"/>
      </w:rPr>
      <w:t>3</w:t>
    </w:r>
    <w:r w:rsidRPr="00B77EB2">
      <w:rPr>
        <w:rFonts w:cs="Arial"/>
        <w:color w:val="6F6F6F"/>
        <w:sz w:val="14"/>
        <w:szCs w:val="14"/>
        <w:lang w:val="de-DE"/>
      </w:rPr>
      <w:fldChar w:fldCharType="end"/>
    </w:r>
    <w:r>
      <w:rPr>
        <w:rFonts w:cs="Arial"/>
        <w:color w:val="6F6F6F"/>
        <w:sz w:val="14"/>
      </w:rPr>
      <w:t xml:space="preserve"> of </w:t>
    </w:r>
    <w:r w:rsidRPr="00B77EB2">
      <w:rPr>
        <w:rFonts w:cs="Arial"/>
        <w:color w:val="6F6F6F"/>
        <w:sz w:val="14"/>
        <w:szCs w:val="14"/>
        <w:lang w:val="de-DE"/>
      </w:rPr>
      <w:fldChar w:fldCharType="begin"/>
    </w:r>
    <w:r w:rsidRPr="00F06B5D">
      <w:rPr>
        <w:rFonts w:cs="Arial"/>
        <w:color w:val="6F6F6F"/>
        <w:sz w:val="14"/>
        <w:szCs w:val="14"/>
      </w:rPr>
      <w:instrText xml:space="preserve"> NUMPAGES </w:instrText>
    </w:r>
    <w:r w:rsidRPr="00B77EB2">
      <w:rPr>
        <w:rFonts w:cs="Arial"/>
        <w:color w:val="6F6F6F"/>
        <w:sz w:val="14"/>
        <w:szCs w:val="14"/>
        <w:lang w:val="de-DE"/>
      </w:rPr>
      <w:fldChar w:fldCharType="separate"/>
    </w:r>
    <w:r w:rsidR="00A80C7B">
      <w:rPr>
        <w:rFonts w:cs="Arial"/>
        <w:noProof/>
        <w:color w:val="6F6F6F"/>
        <w:sz w:val="14"/>
        <w:szCs w:val="14"/>
      </w:rPr>
      <w:t>3</w:t>
    </w:r>
    <w:r w:rsidRPr="00B77EB2">
      <w:rPr>
        <w:rFonts w:cs="Arial"/>
        <w:color w:val="6F6F6F"/>
        <w:sz w:val="14"/>
        <w:szCs w:val="14"/>
        <w:lang w:val="de-DE"/>
      </w:rPr>
      <w:fldChar w:fldCharType="end"/>
    </w:r>
    <w:r>
      <w:rPr>
        <w:rFonts w:cs="Arial"/>
        <w:color w:val="6F6F6F"/>
        <w:sz w:val="14"/>
      </w:rPr>
      <w:t xml:space="preserve"> · </w:t>
    </w:r>
  </w:p>
  <w:p w:rsidR="00B7046E" w:rsidRPr="003F430F" w:rsidRDefault="00B7046E" w:rsidP="0066580C">
    <w:pPr>
      <w:framePr w:w="7859" w:h="227" w:hRule="exact" w:wrap="around" w:vAnchor="page" w:hAnchor="page" w:x="1305" w:y="1305" w:anchorLock="1"/>
      <w:rPr>
        <w:noProof/>
      </w:rPr>
    </w:pPr>
  </w:p>
  <w:p w:rsidR="00B7046E" w:rsidRPr="003F430F" w:rsidRDefault="00B7046E" w:rsidP="0066580C">
    <w:pPr>
      <w:framePr w:w="7859" w:h="227" w:hRule="exact" w:wrap="around" w:vAnchor="page" w:hAnchor="page" w:x="1305" w:y="1305" w:anchorLock="1"/>
      <w:rPr>
        <w:noProof/>
      </w:rPr>
    </w:pPr>
  </w:p>
  <w:p w:rsidR="00B7046E" w:rsidRPr="003F430F" w:rsidRDefault="00B7046E" w:rsidP="0066580C">
    <w:pPr>
      <w:framePr w:w="7859" w:h="227" w:hRule="exact" w:wrap="around" w:vAnchor="page" w:hAnchor="page" w:x="1305" w:y="1305" w:anchorLock="1"/>
    </w:pPr>
  </w:p>
  <w:p w:rsidR="00B7046E" w:rsidRPr="003F430F" w:rsidRDefault="00B7046E" w:rsidP="0066580C">
    <w:pPr>
      <w:framePr w:w="7859" w:h="227" w:hRule="exact" w:wrap="around" w:vAnchor="page" w:hAnchor="page" w:x="1305" w:y="1305" w:anchorLock="1"/>
      <w:rPr>
        <w:noProof/>
      </w:rPr>
    </w:pPr>
    <w:r w:rsidRPr="00F34EC2">
      <w:fldChar w:fldCharType="begin"/>
    </w:r>
    <w:r w:rsidRPr="00F06B5D">
      <w:instrText xml:space="preserve"> MERGEFIELD EFax \* MERGEFORMAT </w:instrText>
    </w:r>
    <w:r w:rsidRPr="00F34EC2">
      <w:fldChar w:fldCharType="separate"/>
    </w:r>
    <w:r w:rsidR="00A80C7B">
      <w:rPr>
        <w:noProof/>
      </w:rPr>
      <w:t>«EFax»</w:t>
    </w:r>
    <w:r w:rsidRPr="00F34EC2">
      <w:rPr>
        <w:noProof/>
        <w:lang w:val="fr-FR"/>
      </w:rPr>
      <w:fldChar w:fldCharType="end"/>
    </w:r>
  </w:p>
  <w:p w:rsidR="00B7046E" w:rsidRPr="003F430F" w:rsidRDefault="00B7046E" w:rsidP="0066580C">
    <w:pPr>
      <w:framePr w:w="7859" w:h="227" w:hRule="exact" w:wrap="around" w:vAnchor="page" w:hAnchor="page" w:x="1305" w:y="1305" w:anchorLock="1"/>
      <w:rPr>
        <w:noProof/>
      </w:rPr>
    </w:pPr>
  </w:p>
  <w:p w:rsidR="00B7046E" w:rsidRPr="003F430F" w:rsidRDefault="00B7046E" w:rsidP="0066580C">
    <w:pPr>
      <w:framePr w:w="7859" w:h="227" w:hRule="exact" w:wrap="around" w:vAnchor="page" w:hAnchor="page" w:x="1305" w:y="1305" w:anchorLock="1"/>
      <w:spacing w:line="180" w:lineRule="exact"/>
      <w:rPr>
        <w:rFonts w:cs="Arial"/>
        <w:color w:val="969696"/>
        <w:sz w:val="14"/>
        <w:szCs w:val="14"/>
      </w:rPr>
    </w:pPr>
  </w:p>
  <w:p w:rsidR="00B7046E" w:rsidRPr="006A7DBA" w:rsidRDefault="00B7046E" w:rsidP="0066580C">
    <w:pPr>
      <w:framePr w:w="7859" w:h="227" w:hRule="exact" w:wrap="around" w:vAnchor="page" w:hAnchor="page" w:x="1305" w:y="1305" w:anchorLock="1"/>
      <w:spacing w:line="180" w:lineRule="exact"/>
      <w:rPr>
        <w:b/>
        <w:i/>
        <w:noProof/>
        <w:color w:val="969696"/>
        <w:sz w:val="14"/>
        <w:szCs w:val="14"/>
      </w:rPr>
    </w:pPr>
    <w:r>
      <w:rPr>
        <w:rFonts w:cs="Arial"/>
        <w:b/>
        <w:i/>
        <w:color w:val="969696"/>
        <w:sz w:val="14"/>
      </w:rPr>
      <w:t>Re: Microsoft Software</w:t>
    </w:r>
  </w:p>
  <w:p w:rsidR="00B7046E" w:rsidRDefault="00B7046E" w:rsidP="00AE708B">
    <w:pPr>
      <w:pStyle w:val="Kopfzeile"/>
    </w:pPr>
    <w:r>
      <w:rPr>
        <w:noProof/>
        <w:lang w:val="en-US"/>
      </w:rPr>
      <w:drawing>
        <wp:anchor distT="0" distB="0" distL="114300" distR="114300" simplePos="0" relativeHeight="251657216" behindDoc="1" locked="0" layoutInCell="1" allowOverlap="1" wp14:anchorId="4DC46810" wp14:editId="02D8FAC5">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46E" w:rsidRPr="00DA141B" w:rsidRDefault="00B7046E" w:rsidP="00AE70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17"/>
    </w:tblGrid>
    <w:tr w:rsidR="00B7046E" w:rsidRPr="004D44E2" w:rsidTr="007C30C3">
      <w:tc>
        <w:tcPr>
          <w:tcW w:w="2657" w:type="dxa"/>
          <w:hideMark/>
        </w:tcPr>
        <w:p w:rsidR="00B7046E" w:rsidRPr="00F649D6" w:rsidRDefault="00B7046E" w:rsidP="0031394F">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Date: February 13, 2015</w:t>
          </w:r>
        </w:p>
        <w:p w:rsidR="00B7046E" w:rsidRPr="00F649D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rPr>
          </w:pPr>
        </w:p>
        <w:p w:rsidR="00B7046E"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Your contact:</w:t>
          </w:r>
        </w:p>
        <w:p w:rsidR="00B7046E" w:rsidRPr="00F649D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rPr>
          </w:pPr>
        </w:p>
        <w:p w:rsidR="00B7046E" w:rsidRPr="00F649D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Matthias Steybe </w:t>
          </w:r>
        </w:p>
        <w:p w:rsidR="00B7046E" w:rsidRPr="00F649D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 xml:space="preserve">Head of Communications </w:t>
          </w:r>
        </w:p>
        <w:p w:rsidR="00B7046E" w:rsidRPr="0065673F"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and Marketing</w:t>
          </w:r>
        </w:p>
        <w:p w:rsidR="00B7046E" w:rsidRPr="0065673F"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rPr>
          </w:pPr>
        </w:p>
        <w:p w:rsidR="00B7046E" w:rsidRPr="0065673F"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Franz-Beer-Strasse 111</w:t>
          </w:r>
        </w:p>
        <w:p w:rsidR="00B7046E" w:rsidRPr="00BB008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BB0086">
            <w:rPr>
              <w:color w:val="6F6F6E"/>
              <w:sz w:val="14"/>
              <w:lang w:val="de-DE"/>
            </w:rPr>
            <w:t>88250 Weingarten</w:t>
          </w:r>
          <w:r w:rsidRPr="00BB0086">
            <w:rPr>
              <w:color w:val="6F6F6E"/>
              <w:sz w:val="14"/>
              <w:lang w:val="de-DE"/>
            </w:rPr>
            <w:br/>
            <w:t>Germany</w:t>
          </w:r>
        </w:p>
        <w:p w:rsidR="00B7046E" w:rsidRPr="00BB008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lang w:val="de-DE"/>
            </w:rPr>
          </w:pPr>
        </w:p>
        <w:p w:rsidR="00B7046E" w:rsidRPr="00BB008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BB0086">
            <w:rPr>
              <w:color w:val="6F6F6E"/>
              <w:sz w:val="14"/>
              <w:lang w:val="de-DE"/>
            </w:rPr>
            <w:t>Tel.: +49 (0)751 503 248</w:t>
          </w:r>
        </w:p>
        <w:p w:rsidR="00B7046E" w:rsidRPr="00BB008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BB0086">
            <w:rPr>
              <w:color w:val="6F6F6E"/>
              <w:sz w:val="14"/>
              <w:lang w:val="de-DE"/>
            </w:rPr>
            <w:t>Fax: +49 (0)751 503 7248</w:t>
          </w:r>
        </w:p>
        <w:p w:rsidR="00B7046E" w:rsidRPr="00BB008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BB0086">
            <w:rPr>
              <w:color w:val="6F6F6E"/>
              <w:sz w:val="14"/>
              <w:lang w:val="de-DE"/>
            </w:rPr>
            <w:t xml:space="preserve">Cell: +49 (0)172 667 1341 </w:t>
          </w:r>
        </w:p>
        <w:p w:rsidR="00B7046E" w:rsidRPr="00BB008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hyperlink r:id="rId1" w:history="1">
            <w:r w:rsidRPr="00BB0086">
              <w:rPr>
                <w:color w:val="6F6F6E"/>
                <w:sz w:val="14"/>
                <w:lang w:val="fr-FR"/>
              </w:rPr>
              <w:t>Email: matthias.steybe@chg-</w:t>
            </w:r>
          </w:hyperlink>
        </w:p>
        <w:p w:rsidR="00B7046E" w:rsidRPr="00BB008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r w:rsidRPr="00BB0086">
            <w:rPr>
              <w:color w:val="6F6F6E"/>
              <w:sz w:val="14"/>
              <w:lang w:val="fr-FR"/>
            </w:rPr>
            <w:t>meridian.de</w:t>
          </w:r>
        </w:p>
        <w:p w:rsidR="00B7046E" w:rsidRPr="00BB0086"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szCs w:val="14"/>
              <w:lang w:val="fr-FR"/>
            </w:rPr>
          </w:pPr>
        </w:p>
        <w:p w:rsidR="00B7046E" w:rsidRPr="00554BA5" w:rsidRDefault="00B7046E" w:rsidP="0031394F">
          <w:pPr>
            <w:framePr w:w="2517" w:h="8505" w:hSpace="482" w:wrap="around" w:vAnchor="page" w:hAnchor="page" w:x="9385" w:y="6539" w:anchorLock="1"/>
            <w:tabs>
              <w:tab w:val="left" w:pos="709"/>
              <w:tab w:val="right" w:pos="2835"/>
            </w:tabs>
            <w:spacing w:line="200" w:lineRule="atLeast"/>
            <w:jc w:val="left"/>
            <w:rPr>
              <w:color w:val="6F6F6E"/>
              <w:sz w:val="14"/>
            </w:rPr>
          </w:pPr>
          <w:r>
            <w:rPr>
              <w:color w:val="6F6F6E"/>
              <w:sz w:val="14"/>
            </w:rPr>
            <w:t>Website: www.chg-meridian.com</w:t>
          </w:r>
        </w:p>
        <w:p w:rsidR="00B7046E" w:rsidRPr="00554BA5" w:rsidRDefault="00B7046E" w:rsidP="0031394F">
          <w:pPr>
            <w:framePr w:w="2517" w:h="8505" w:hSpace="482" w:wrap="around" w:vAnchor="page" w:hAnchor="page" w:x="9385" w:y="6539" w:anchorLock="1"/>
            <w:spacing w:line="210" w:lineRule="exact"/>
            <w:rPr>
              <w:sz w:val="14"/>
              <w:szCs w:val="14"/>
            </w:rPr>
          </w:pPr>
        </w:p>
      </w:tc>
    </w:tr>
  </w:tbl>
  <w:p w:rsidR="00B7046E" w:rsidRPr="00554BA5" w:rsidRDefault="00B7046E" w:rsidP="0031394F">
    <w:pPr>
      <w:framePr w:w="2517" w:h="8505" w:hSpace="482" w:wrap="around" w:vAnchor="page" w:hAnchor="page" w:x="9385" w:y="6539" w:anchorLock="1"/>
      <w:spacing w:line="210" w:lineRule="exact"/>
      <w:rPr>
        <w:sz w:val="14"/>
        <w:szCs w:val="14"/>
      </w:rPr>
    </w:pPr>
  </w:p>
  <w:p w:rsidR="00B7046E" w:rsidRPr="00554BA5" w:rsidRDefault="00B7046E" w:rsidP="0031394F">
    <w:pPr>
      <w:framePr w:w="2517" w:h="8505" w:hSpace="482" w:wrap="around" w:vAnchor="page" w:hAnchor="page" w:x="9385" w:y="6539" w:anchorLock="1"/>
      <w:spacing w:line="210" w:lineRule="exact"/>
      <w:rPr>
        <w:sz w:val="14"/>
        <w:szCs w:val="14"/>
      </w:rPr>
    </w:pPr>
  </w:p>
  <w:p w:rsidR="00B7046E" w:rsidRPr="00554BA5" w:rsidRDefault="00B7046E" w:rsidP="0031394F">
    <w:pPr>
      <w:framePr w:w="2517" w:h="8505" w:hSpace="482" w:wrap="around" w:vAnchor="page" w:hAnchor="page" w:x="9385" w:y="6539" w:anchorLock="1"/>
      <w:spacing w:line="210" w:lineRule="exact"/>
      <w:rPr>
        <w:sz w:val="14"/>
        <w:szCs w:val="14"/>
      </w:rPr>
    </w:pPr>
  </w:p>
  <w:p w:rsidR="00B7046E" w:rsidRPr="00277562" w:rsidRDefault="00B7046E" w:rsidP="00154F03">
    <w:pPr>
      <w:pStyle w:val="berschrift2"/>
    </w:pPr>
    <w:r>
      <w:rPr>
        <w:b w:val="0"/>
      </w:rPr>
      <w:t xml:space="preserve">PRESS RELEASE </w:t>
    </w:r>
    <w:r>
      <w:rPr>
        <w:noProof/>
        <w:lang w:val="en-US"/>
      </w:rPr>
      <w:drawing>
        <wp:anchor distT="0" distB="0" distL="114300" distR="114300" simplePos="0" relativeHeight="251656192" behindDoc="1" locked="0" layoutInCell="1" allowOverlap="1" wp14:anchorId="610DB341" wp14:editId="65A2BBF9">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AE1482"/>
    <w:multiLevelType w:val="hybridMultilevel"/>
    <w:tmpl w:val="3B9AE3E2"/>
    <w:lvl w:ilvl="0" w:tplc="6A2220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6D53CD"/>
    <w:multiLevelType w:val="hybridMultilevel"/>
    <w:tmpl w:val="2FC4D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D0E0F6D"/>
    <w:multiLevelType w:val="hybridMultilevel"/>
    <w:tmpl w:val="00FA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1"/>
  </w:num>
  <w:num w:numId="6">
    <w:abstractNumId w:val="1"/>
  </w:num>
  <w:num w:numId="7">
    <w:abstractNumId w:val="1"/>
  </w:num>
  <w:num w:numId="8">
    <w:abstractNumId w:val="2"/>
  </w:num>
  <w:num w:numId="9">
    <w:abstractNumId w:val="1"/>
  </w:num>
  <w:num w:numId="10">
    <w:abstractNumId w:val="4"/>
  </w:num>
  <w:num w:numId="11">
    <w:abstractNumId w:val="1"/>
  </w:num>
  <w:num w:numId="12">
    <w:abstractNumId w:val="1"/>
  </w:num>
  <w:num w:numId="13">
    <w:abstractNumId w:val="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D"/>
    <w:rsid w:val="00002C0B"/>
    <w:rsid w:val="00005023"/>
    <w:rsid w:val="00016FCB"/>
    <w:rsid w:val="00021D4C"/>
    <w:rsid w:val="00022B8C"/>
    <w:rsid w:val="00035798"/>
    <w:rsid w:val="00045FB2"/>
    <w:rsid w:val="000577C2"/>
    <w:rsid w:val="00064DC7"/>
    <w:rsid w:val="000728EF"/>
    <w:rsid w:val="000745C5"/>
    <w:rsid w:val="000A220D"/>
    <w:rsid w:val="000B1884"/>
    <w:rsid w:val="000D1C5E"/>
    <w:rsid w:val="000D6544"/>
    <w:rsid w:val="000E2257"/>
    <w:rsid w:val="000E3B33"/>
    <w:rsid w:val="00101641"/>
    <w:rsid w:val="00106D2E"/>
    <w:rsid w:val="00107A97"/>
    <w:rsid w:val="00127901"/>
    <w:rsid w:val="00131396"/>
    <w:rsid w:val="0013433F"/>
    <w:rsid w:val="00154F03"/>
    <w:rsid w:val="00184C0C"/>
    <w:rsid w:val="001904F1"/>
    <w:rsid w:val="00193879"/>
    <w:rsid w:val="001A5394"/>
    <w:rsid w:val="001A5BAE"/>
    <w:rsid w:val="001C10A8"/>
    <w:rsid w:val="001C1C71"/>
    <w:rsid w:val="001C4B3F"/>
    <w:rsid w:val="001C589D"/>
    <w:rsid w:val="001C620E"/>
    <w:rsid w:val="001D763D"/>
    <w:rsid w:val="001D7CA8"/>
    <w:rsid w:val="001E2CBA"/>
    <w:rsid w:val="001E5F62"/>
    <w:rsid w:val="00201E88"/>
    <w:rsid w:val="00223EE8"/>
    <w:rsid w:val="002312C1"/>
    <w:rsid w:val="00236422"/>
    <w:rsid w:val="0023676C"/>
    <w:rsid w:val="00250D99"/>
    <w:rsid w:val="00277562"/>
    <w:rsid w:val="002957A7"/>
    <w:rsid w:val="002D2B8F"/>
    <w:rsid w:val="002D445A"/>
    <w:rsid w:val="002E75AB"/>
    <w:rsid w:val="00306A86"/>
    <w:rsid w:val="0031394F"/>
    <w:rsid w:val="00313DB5"/>
    <w:rsid w:val="003227FF"/>
    <w:rsid w:val="0033025D"/>
    <w:rsid w:val="003315B2"/>
    <w:rsid w:val="00337318"/>
    <w:rsid w:val="00340EA6"/>
    <w:rsid w:val="00364AF8"/>
    <w:rsid w:val="0038159C"/>
    <w:rsid w:val="00387D7C"/>
    <w:rsid w:val="003B085A"/>
    <w:rsid w:val="003B0F32"/>
    <w:rsid w:val="003B6F92"/>
    <w:rsid w:val="003B6FEC"/>
    <w:rsid w:val="003C69DE"/>
    <w:rsid w:val="003D00C6"/>
    <w:rsid w:val="003F164A"/>
    <w:rsid w:val="003F430F"/>
    <w:rsid w:val="003F76E8"/>
    <w:rsid w:val="00403AB2"/>
    <w:rsid w:val="0040540E"/>
    <w:rsid w:val="00416F6C"/>
    <w:rsid w:val="00424515"/>
    <w:rsid w:val="00426275"/>
    <w:rsid w:val="00451A60"/>
    <w:rsid w:val="00492F1C"/>
    <w:rsid w:val="004A1225"/>
    <w:rsid w:val="004C4A4D"/>
    <w:rsid w:val="004D2B7E"/>
    <w:rsid w:val="004D3421"/>
    <w:rsid w:val="004D44E2"/>
    <w:rsid w:val="004D5BC0"/>
    <w:rsid w:val="004E10ED"/>
    <w:rsid w:val="004E3D71"/>
    <w:rsid w:val="004F37EC"/>
    <w:rsid w:val="005160EE"/>
    <w:rsid w:val="00532C83"/>
    <w:rsid w:val="0053683E"/>
    <w:rsid w:val="005441DC"/>
    <w:rsid w:val="00551174"/>
    <w:rsid w:val="00552388"/>
    <w:rsid w:val="00554BA5"/>
    <w:rsid w:val="00555100"/>
    <w:rsid w:val="00560DB0"/>
    <w:rsid w:val="00564CB9"/>
    <w:rsid w:val="00567BFC"/>
    <w:rsid w:val="00567D3C"/>
    <w:rsid w:val="0057093D"/>
    <w:rsid w:val="005745B8"/>
    <w:rsid w:val="00595777"/>
    <w:rsid w:val="005C7960"/>
    <w:rsid w:val="005D0D43"/>
    <w:rsid w:val="005D2F83"/>
    <w:rsid w:val="005D7292"/>
    <w:rsid w:val="005D7E94"/>
    <w:rsid w:val="005E21FA"/>
    <w:rsid w:val="005E2F57"/>
    <w:rsid w:val="005F54E0"/>
    <w:rsid w:val="005F727F"/>
    <w:rsid w:val="0060264D"/>
    <w:rsid w:val="00602C22"/>
    <w:rsid w:val="00602EAE"/>
    <w:rsid w:val="0061159A"/>
    <w:rsid w:val="0061346B"/>
    <w:rsid w:val="00630C12"/>
    <w:rsid w:val="00637244"/>
    <w:rsid w:val="006565AC"/>
    <w:rsid w:val="0065673F"/>
    <w:rsid w:val="00660FD7"/>
    <w:rsid w:val="0066580C"/>
    <w:rsid w:val="006715BE"/>
    <w:rsid w:val="00677E1C"/>
    <w:rsid w:val="006A117D"/>
    <w:rsid w:val="006A2030"/>
    <w:rsid w:val="006A4242"/>
    <w:rsid w:val="006A78A1"/>
    <w:rsid w:val="006A7DBA"/>
    <w:rsid w:val="006C79F8"/>
    <w:rsid w:val="006C7B4E"/>
    <w:rsid w:val="00713A29"/>
    <w:rsid w:val="007349B8"/>
    <w:rsid w:val="00746B17"/>
    <w:rsid w:val="00761D6A"/>
    <w:rsid w:val="0076489C"/>
    <w:rsid w:val="0077119D"/>
    <w:rsid w:val="00772C5B"/>
    <w:rsid w:val="00777DF7"/>
    <w:rsid w:val="007822F9"/>
    <w:rsid w:val="00784F23"/>
    <w:rsid w:val="007906E4"/>
    <w:rsid w:val="00790A30"/>
    <w:rsid w:val="00790D39"/>
    <w:rsid w:val="007918A9"/>
    <w:rsid w:val="007A3235"/>
    <w:rsid w:val="007A4898"/>
    <w:rsid w:val="007A7A26"/>
    <w:rsid w:val="007B5DFA"/>
    <w:rsid w:val="007C30C3"/>
    <w:rsid w:val="007F0B76"/>
    <w:rsid w:val="0080070B"/>
    <w:rsid w:val="0081089B"/>
    <w:rsid w:val="008169AA"/>
    <w:rsid w:val="00832AC0"/>
    <w:rsid w:val="00832B86"/>
    <w:rsid w:val="0085194B"/>
    <w:rsid w:val="00852F49"/>
    <w:rsid w:val="008530B1"/>
    <w:rsid w:val="00853853"/>
    <w:rsid w:val="00860204"/>
    <w:rsid w:val="0086434A"/>
    <w:rsid w:val="008734ED"/>
    <w:rsid w:val="008746ED"/>
    <w:rsid w:val="00877FB8"/>
    <w:rsid w:val="0089169F"/>
    <w:rsid w:val="008C0D45"/>
    <w:rsid w:val="008C3CE7"/>
    <w:rsid w:val="008D7477"/>
    <w:rsid w:val="008E418B"/>
    <w:rsid w:val="008E503E"/>
    <w:rsid w:val="008F3263"/>
    <w:rsid w:val="00903084"/>
    <w:rsid w:val="00903604"/>
    <w:rsid w:val="00910D61"/>
    <w:rsid w:val="00921BF9"/>
    <w:rsid w:val="0093339B"/>
    <w:rsid w:val="009519D9"/>
    <w:rsid w:val="009522B2"/>
    <w:rsid w:val="009B2764"/>
    <w:rsid w:val="009B505B"/>
    <w:rsid w:val="009C6CA1"/>
    <w:rsid w:val="009D6DBC"/>
    <w:rsid w:val="009E75D8"/>
    <w:rsid w:val="00A021D6"/>
    <w:rsid w:val="00A05840"/>
    <w:rsid w:val="00A1119D"/>
    <w:rsid w:val="00A13500"/>
    <w:rsid w:val="00A13DEB"/>
    <w:rsid w:val="00A43742"/>
    <w:rsid w:val="00A548BC"/>
    <w:rsid w:val="00A54AAF"/>
    <w:rsid w:val="00A641E6"/>
    <w:rsid w:val="00A731B0"/>
    <w:rsid w:val="00A80109"/>
    <w:rsid w:val="00A80C7B"/>
    <w:rsid w:val="00A86448"/>
    <w:rsid w:val="00A93BB6"/>
    <w:rsid w:val="00A9570F"/>
    <w:rsid w:val="00A96C2D"/>
    <w:rsid w:val="00A97CFF"/>
    <w:rsid w:val="00A97E19"/>
    <w:rsid w:val="00AA6D5B"/>
    <w:rsid w:val="00AB4BD9"/>
    <w:rsid w:val="00AC22E6"/>
    <w:rsid w:val="00AC286C"/>
    <w:rsid w:val="00AD081F"/>
    <w:rsid w:val="00AD0DD5"/>
    <w:rsid w:val="00AD6242"/>
    <w:rsid w:val="00AE440C"/>
    <w:rsid w:val="00AE58AD"/>
    <w:rsid w:val="00AE708B"/>
    <w:rsid w:val="00B10325"/>
    <w:rsid w:val="00B14E86"/>
    <w:rsid w:val="00B20AC8"/>
    <w:rsid w:val="00B4072D"/>
    <w:rsid w:val="00B44B1B"/>
    <w:rsid w:val="00B537C1"/>
    <w:rsid w:val="00B54AF6"/>
    <w:rsid w:val="00B55399"/>
    <w:rsid w:val="00B7046E"/>
    <w:rsid w:val="00B73D82"/>
    <w:rsid w:val="00B74474"/>
    <w:rsid w:val="00B76B9C"/>
    <w:rsid w:val="00B77EB2"/>
    <w:rsid w:val="00B86B7F"/>
    <w:rsid w:val="00B86EB9"/>
    <w:rsid w:val="00BB0086"/>
    <w:rsid w:val="00BC6264"/>
    <w:rsid w:val="00BC6436"/>
    <w:rsid w:val="00BE6C78"/>
    <w:rsid w:val="00BF0386"/>
    <w:rsid w:val="00C06F55"/>
    <w:rsid w:val="00C361D9"/>
    <w:rsid w:val="00C37D22"/>
    <w:rsid w:val="00C44FC3"/>
    <w:rsid w:val="00C53172"/>
    <w:rsid w:val="00C70AF1"/>
    <w:rsid w:val="00C748E2"/>
    <w:rsid w:val="00C96A81"/>
    <w:rsid w:val="00CA3999"/>
    <w:rsid w:val="00CA5430"/>
    <w:rsid w:val="00CA7119"/>
    <w:rsid w:val="00CD4CB8"/>
    <w:rsid w:val="00CD78BD"/>
    <w:rsid w:val="00CF7FEC"/>
    <w:rsid w:val="00D01E17"/>
    <w:rsid w:val="00D01E2B"/>
    <w:rsid w:val="00D040B9"/>
    <w:rsid w:val="00D3705A"/>
    <w:rsid w:val="00D51580"/>
    <w:rsid w:val="00D60475"/>
    <w:rsid w:val="00D64687"/>
    <w:rsid w:val="00D82FA5"/>
    <w:rsid w:val="00D878BD"/>
    <w:rsid w:val="00DA141B"/>
    <w:rsid w:val="00DA6550"/>
    <w:rsid w:val="00DC7CE9"/>
    <w:rsid w:val="00DD09BD"/>
    <w:rsid w:val="00DD6A41"/>
    <w:rsid w:val="00DE5A24"/>
    <w:rsid w:val="00DF4488"/>
    <w:rsid w:val="00E12B6E"/>
    <w:rsid w:val="00E21263"/>
    <w:rsid w:val="00E21BC1"/>
    <w:rsid w:val="00E225A4"/>
    <w:rsid w:val="00E45729"/>
    <w:rsid w:val="00E47361"/>
    <w:rsid w:val="00E61C32"/>
    <w:rsid w:val="00E63B4E"/>
    <w:rsid w:val="00E847BD"/>
    <w:rsid w:val="00EB4CDA"/>
    <w:rsid w:val="00EB6E82"/>
    <w:rsid w:val="00EC1F22"/>
    <w:rsid w:val="00EC3674"/>
    <w:rsid w:val="00EC59AA"/>
    <w:rsid w:val="00ED5802"/>
    <w:rsid w:val="00ED6A85"/>
    <w:rsid w:val="00EF1E6E"/>
    <w:rsid w:val="00F06B5D"/>
    <w:rsid w:val="00F06B68"/>
    <w:rsid w:val="00F154D9"/>
    <w:rsid w:val="00F15917"/>
    <w:rsid w:val="00F16469"/>
    <w:rsid w:val="00F271DD"/>
    <w:rsid w:val="00F3745A"/>
    <w:rsid w:val="00F50FD5"/>
    <w:rsid w:val="00F574E9"/>
    <w:rsid w:val="00F61985"/>
    <w:rsid w:val="00F649D6"/>
    <w:rsid w:val="00F65BB6"/>
    <w:rsid w:val="00F90C4E"/>
    <w:rsid w:val="00FA505E"/>
    <w:rsid w:val="00FA7A6D"/>
    <w:rsid w:val="00FB445E"/>
    <w:rsid w:val="00FC7C6D"/>
    <w:rsid w:val="00FE02F5"/>
    <w:rsid w:val="00FF1B29"/>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CHG-Standard"/>
    <w:qFormat/>
    <w:rsid w:val="00B20AC8"/>
    <w:pPr>
      <w:spacing w:line="250" w:lineRule="exact"/>
      <w:jc w:val="both"/>
    </w:pPr>
    <w:rPr>
      <w:rFonts w:ascii="Arial" w:hAnsi="Arial"/>
      <w:sz w:val="19"/>
      <w:szCs w:val="22"/>
      <w:lang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eastAsia="de-DE"/>
    </w:rPr>
  </w:style>
  <w:style w:type="character" w:customStyle="1" w:styleId="Textkrper2Zchn">
    <w:name w:val="Textkörper 2 Zchn"/>
    <w:link w:val="Textkrper2"/>
    <w:semiHidden/>
    <w:rsid w:val="006A7DBA"/>
    <w:rPr>
      <w:rFonts w:ascii="Arial" w:eastAsia="Times New Roman" w:hAnsi="Arial"/>
      <w:sz w:val="22"/>
      <w:lang w:val="en-GB"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val="en-GB"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style>
  <w:style w:type="character" w:customStyle="1" w:styleId="AufzhlungspunkteCHG-MERIDIANZchn">
    <w:name w:val="Aufzählungspunkte CHG-MERIDIAN Zchn"/>
    <w:link w:val="AufzhlungspunkteCHG-MERIDIAN"/>
    <w:rsid w:val="00D60475"/>
    <w:rPr>
      <w:rFonts w:ascii="Arial" w:hAnsi="Arial"/>
      <w:sz w:val="19"/>
      <w:szCs w:val="22"/>
      <w:lang w:val="en-GB" w:eastAsia="en-US"/>
    </w:rPr>
  </w:style>
  <w:style w:type="paragraph" w:customStyle="1" w:styleId="CHG-Abbildung">
    <w:name w:val="CHG-Abbildung"/>
    <w:basedOn w:val="Standard"/>
    <w:link w:val="CHG-AbbildungZchn"/>
    <w:qFormat/>
    <w:rsid w:val="00D60475"/>
    <w:pPr>
      <w:jc w:val="center"/>
    </w:pPr>
    <w:rPr>
      <w:b/>
      <w:color w:val="A39D9B"/>
    </w:rPr>
  </w:style>
  <w:style w:type="character" w:customStyle="1" w:styleId="CHG-AbbildungZchn">
    <w:name w:val="CHG-Abbildung Zchn"/>
    <w:basedOn w:val="Absatz-Standardschriftart"/>
    <w:link w:val="CHG-Abbildung"/>
    <w:rsid w:val="00D60475"/>
    <w:rPr>
      <w:rFonts w:ascii="Arial" w:hAnsi="Arial"/>
      <w:b/>
      <w:color w:val="A39D9B"/>
      <w:sz w:val="19"/>
      <w:szCs w:val="22"/>
      <w:lang w:val="en-GB"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rPr>
  </w:style>
  <w:style w:type="character" w:customStyle="1" w:styleId="SchlagzeilePressemitteilungZchn">
    <w:name w:val="Schlagzeile Pressemitteilung Zchn"/>
    <w:link w:val="SchlagzeilePressemitteilung"/>
    <w:rsid w:val="00F649D6"/>
    <w:rPr>
      <w:rFonts w:ascii="Arial" w:hAnsi="Arial"/>
      <w:b/>
      <w:color w:val="6F6F6E"/>
      <w:sz w:val="30"/>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6629">
      <w:bodyDiv w:val="1"/>
      <w:marLeft w:val="0"/>
      <w:marRight w:val="0"/>
      <w:marTop w:val="0"/>
      <w:marBottom w:val="0"/>
      <w:divBdr>
        <w:top w:val="none" w:sz="0" w:space="0" w:color="auto"/>
        <w:left w:val="none" w:sz="0" w:space="0" w:color="auto"/>
        <w:bottom w:val="none" w:sz="0" w:space="0" w:color="auto"/>
        <w:right w:val="none" w:sz="0" w:space="0" w:color="auto"/>
      </w:divBdr>
    </w:div>
    <w:div w:id="211045791">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62685731">
      <w:bodyDiv w:val="1"/>
      <w:marLeft w:val="0"/>
      <w:marRight w:val="0"/>
      <w:marTop w:val="0"/>
      <w:marBottom w:val="0"/>
      <w:divBdr>
        <w:top w:val="none" w:sz="0" w:space="0" w:color="auto"/>
        <w:left w:val="none" w:sz="0" w:space="0" w:color="auto"/>
        <w:bottom w:val="none" w:sz="0" w:space="0" w:color="auto"/>
        <w:right w:val="none" w:sz="0" w:space="0" w:color="auto"/>
      </w:divBdr>
    </w:div>
    <w:div w:id="14937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v246\profiles$\dru\Desktop\www.chg-meridian.com%20%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E-Mail.%20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5A2BA72-EA9A-4A70-A94E-E2568E70F8F5}">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7311</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CHG-MERIDIAN</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Haser</dc:creator>
  <cp:lastModifiedBy>Steybe, Matthias</cp:lastModifiedBy>
  <cp:revision>5</cp:revision>
  <cp:lastPrinted>2015-02-12T17:46:00Z</cp:lastPrinted>
  <dcterms:created xsi:type="dcterms:W3CDTF">2015-02-11T18:03:00Z</dcterms:created>
  <dcterms:modified xsi:type="dcterms:W3CDTF">2015-02-12T17:46:00Z</dcterms:modified>
</cp:coreProperties>
</file>