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C6" w:rsidRPr="00962BA0" w:rsidRDefault="003D00C6"/>
    <w:p w:rsidR="00DA141B" w:rsidRPr="00962BA0" w:rsidRDefault="00AE708B" w:rsidP="00AE708B">
      <w:pPr>
        <w:tabs>
          <w:tab w:val="left" w:pos="7965"/>
        </w:tabs>
      </w:pPr>
      <w:r w:rsidRPr="00962BA0">
        <w:tab/>
      </w:r>
    </w:p>
    <w:p w:rsidR="00DA141B" w:rsidRPr="00962BA0" w:rsidRDefault="00DA141B"/>
    <w:p w:rsidR="00304483" w:rsidRPr="00962BA0" w:rsidRDefault="00F574E9" w:rsidP="00815256">
      <w:pPr>
        <w:pStyle w:val="SchlagzeilePressemitteilung"/>
        <w:framePr w:w="8179" w:wrap="around" w:y="2365"/>
        <w:spacing w:line="240" w:lineRule="auto"/>
        <w:ind w:left="142"/>
        <w:rPr>
          <w:rFonts w:cs="Arial"/>
          <w:color w:val="7A716F"/>
          <w:sz w:val="40"/>
          <w:szCs w:val="40"/>
          <w:lang w:val="en-US"/>
        </w:rPr>
      </w:pPr>
      <w:r w:rsidRPr="00962BA0">
        <w:rPr>
          <w:rFonts w:cs="Arial"/>
          <w:bCs/>
          <w:color w:val="7A716F"/>
          <w:sz w:val="40"/>
          <w:szCs w:val="40"/>
          <w:lang w:val="en-US"/>
        </w:rPr>
        <w:t>CHG-MERIDIAN has profitable growth</w:t>
      </w:r>
    </w:p>
    <w:p w:rsidR="00B86B7F" w:rsidRPr="00962BA0" w:rsidRDefault="00D57DD8" w:rsidP="00815256">
      <w:pPr>
        <w:pStyle w:val="SchlagzeilePressemitteilung"/>
        <w:framePr w:w="8179" w:wrap="around" w:y="2365"/>
        <w:spacing w:line="240" w:lineRule="auto"/>
        <w:ind w:left="142"/>
        <w:rPr>
          <w:b w:val="0"/>
          <w:color w:val="7A716F"/>
          <w:sz w:val="40"/>
          <w:szCs w:val="40"/>
          <w:lang w:val="en-US"/>
        </w:rPr>
      </w:pPr>
      <w:r w:rsidRPr="00962BA0">
        <w:rPr>
          <w:rFonts w:cs="Arial"/>
          <w:bCs/>
          <w:color w:val="7A716F"/>
          <w:sz w:val="40"/>
          <w:szCs w:val="40"/>
          <w:lang w:val="en-US"/>
        </w:rPr>
        <w:t>in the first half of the year</w:t>
      </w:r>
    </w:p>
    <w:p w:rsidR="009D4F57" w:rsidRPr="00962BA0" w:rsidRDefault="00AE2405" w:rsidP="009D4F57">
      <w:pPr>
        <w:pStyle w:val="AufzhlungspunkteCHG-MERIDIAN"/>
        <w:spacing w:line="360" w:lineRule="auto"/>
        <w:ind w:left="641" w:right="991" w:hanging="357"/>
        <w:rPr>
          <w:rFonts w:cs="Arial"/>
          <w:b/>
          <w:color w:val="7A716F"/>
          <w:sz w:val="24"/>
          <w:lang w:val="en-US"/>
        </w:rPr>
      </w:pPr>
      <w:r w:rsidRPr="00962BA0">
        <w:rPr>
          <w:rFonts w:cs="Arial"/>
          <w:b/>
          <w:bCs/>
          <w:color w:val="7A716F"/>
          <w:sz w:val="24"/>
          <w:lang w:val="en-US"/>
        </w:rPr>
        <w:t xml:space="preserve">Gross profits grow by almost 30 percent compared to previous year </w:t>
      </w:r>
    </w:p>
    <w:p w:rsidR="00AE708B" w:rsidRPr="00962BA0" w:rsidRDefault="0029061C" w:rsidP="008C4758">
      <w:pPr>
        <w:pStyle w:val="AufzhlungspunkteCHG-MERIDIAN"/>
        <w:spacing w:line="360" w:lineRule="auto"/>
        <w:ind w:left="641" w:right="991" w:hanging="357"/>
        <w:rPr>
          <w:rFonts w:cs="Arial"/>
          <w:b/>
          <w:color w:val="7A716F"/>
          <w:sz w:val="24"/>
          <w:lang w:val="en-US"/>
        </w:rPr>
      </w:pPr>
      <w:r w:rsidRPr="00962BA0">
        <w:rPr>
          <w:rFonts w:cs="Arial"/>
          <w:b/>
          <w:bCs/>
          <w:color w:val="7A716F"/>
          <w:sz w:val="24"/>
          <w:lang w:val="en-US"/>
        </w:rPr>
        <w:t xml:space="preserve">Europe remains a growth guarantor for new business and earnings </w:t>
      </w:r>
    </w:p>
    <w:p w:rsidR="00B86B7F" w:rsidRPr="00962BA0" w:rsidRDefault="00AE2405" w:rsidP="008C4758">
      <w:pPr>
        <w:pStyle w:val="AufzhlungspunkteCHG-MERIDIAN"/>
        <w:spacing w:line="360" w:lineRule="auto"/>
        <w:ind w:left="641" w:right="991" w:hanging="357"/>
        <w:rPr>
          <w:color w:val="7A716F"/>
          <w:sz w:val="24"/>
          <w:lang w:val="en-US"/>
        </w:rPr>
      </w:pPr>
      <w:r w:rsidRPr="00962BA0">
        <w:rPr>
          <w:rFonts w:cs="Arial"/>
          <w:b/>
          <w:bCs/>
          <w:color w:val="7A716F"/>
          <w:sz w:val="24"/>
          <w:lang w:val="en-US"/>
        </w:rPr>
        <w:t>Remarketing of IT devices achieves record values</w:t>
      </w:r>
    </w:p>
    <w:p w:rsidR="00B86B7F" w:rsidRPr="00962BA0" w:rsidRDefault="00B86B7F" w:rsidP="00B86B7F">
      <w:pPr>
        <w:pStyle w:val="ListParagraph"/>
      </w:pPr>
    </w:p>
    <w:p w:rsidR="00B86B7F" w:rsidRPr="00962BA0" w:rsidRDefault="00B86B7F" w:rsidP="00B86B7F">
      <w:pPr>
        <w:pStyle w:val="AufzhlungspunkteCHG-MERIDIAN"/>
        <w:numPr>
          <w:ilvl w:val="0"/>
          <w:numId w:val="0"/>
        </w:numPr>
        <w:rPr>
          <w:sz w:val="22"/>
          <w:lang w:val="en-US"/>
        </w:rPr>
      </w:pPr>
    </w:p>
    <w:p w:rsidR="00F8186B" w:rsidRPr="00962BA0" w:rsidRDefault="00F8186B" w:rsidP="00815256">
      <w:pPr>
        <w:pStyle w:val="AufzhlungspunkteCHG-MERIDIAN"/>
        <w:numPr>
          <w:ilvl w:val="0"/>
          <w:numId w:val="0"/>
        </w:numPr>
        <w:jc w:val="both"/>
        <w:rPr>
          <w:szCs w:val="19"/>
          <w:u w:val="single"/>
          <w:lang w:val="en-US"/>
        </w:rPr>
      </w:pPr>
    </w:p>
    <w:p w:rsidR="00E3116A" w:rsidRPr="00962BA0" w:rsidRDefault="00E3116A" w:rsidP="00815256">
      <w:pPr>
        <w:pStyle w:val="AufzhlungspunkteCHG-MERIDIAN"/>
        <w:numPr>
          <w:ilvl w:val="0"/>
          <w:numId w:val="0"/>
        </w:numPr>
        <w:jc w:val="both"/>
        <w:rPr>
          <w:szCs w:val="19"/>
          <w:u w:val="single"/>
          <w:lang w:val="en-US"/>
        </w:rPr>
      </w:pPr>
    </w:p>
    <w:p w:rsidR="00B86B7F" w:rsidRPr="00962BA0" w:rsidRDefault="00364AF8" w:rsidP="00815256">
      <w:pPr>
        <w:pStyle w:val="AufzhlungspunkteCHG-MERIDIAN"/>
        <w:numPr>
          <w:ilvl w:val="0"/>
          <w:numId w:val="0"/>
        </w:numPr>
        <w:jc w:val="both"/>
        <w:rPr>
          <w:szCs w:val="19"/>
          <w:u w:val="single"/>
          <w:lang w:val="en-US"/>
        </w:rPr>
      </w:pPr>
      <w:r w:rsidRPr="00962BA0">
        <w:rPr>
          <w:szCs w:val="19"/>
          <w:u w:val="single"/>
          <w:lang w:val="en-US"/>
        </w:rPr>
        <w:t>Weingarten, 22. July 2015</w:t>
      </w:r>
    </w:p>
    <w:p w:rsidR="00595777" w:rsidRPr="00962BA0" w:rsidRDefault="00595777" w:rsidP="00815256">
      <w:pPr>
        <w:pStyle w:val="AufzhlungspunkteCHG-MERIDIAN"/>
        <w:numPr>
          <w:ilvl w:val="0"/>
          <w:numId w:val="0"/>
        </w:numPr>
        <w:jc w:val="both"/>
        <w:rPr>
          <w:szCs w:val="19"/>
          <w:lang w:val="en-US"/>
        </w:rPr>
      </w:pPr>
    </w:p>
    <w:p w:rsidR="00AE2405" w:rsidRPr="00962BA0" w:rsidRDefault="00AE2405" w:rsidP="0029061C">
      <w:pPr>
        <w:pStyle w:val="AufzhlungspunkteCHG-MERIDIAN"/>
        <w:numPr>
          <w:ilvl w:val="0"/>
          <w:numId w:val="0"/>
        </w:numPr>
        <w:ind w:right="1416"/>
        <w:jc w:val="both"/>
        <w:rPr>
          <w:szCs w:val="19"/>
          <w:lang w:val="en-US"/>
        </w:rPr>
      </w:pPr>
      <w:r w:rsidRPr="00962BA0">
        <w:rPr>
          <w:szCs w:val="19"/>
          <w:lang w:val="en-US"/>
        </w:rPr>
        <w:t xml:space="preserve">For new business and earnings Europe remains a growth guarantor for the technology manager and finance expert CHG-MERIDIAN, headquartered in Weingarten (Germany, Baden-Württemberg). The company, which has 40 branches in 23 countries around the world, reached the end of the second quarter with €468 million of new investment volumes, which is about 4.5 percent above the previous year (1st half of 2014: €448 million). In particular the markets in Central, Western and Southern Europe pulled in new business, while Eastern Europe and North America fell short of expectations. On the other hand the earnings developed extremely positively in all countries over the first half of the year.  </w:t>
      </w:r>
    </w:p>
    <w:p w:rsidR="00AE2405" w:rsidRPr="00962BA0" w:rsidRDefault="00AE2405" w:rsidP="00FD0A27">
      <w:pPr>
        <w:pStyle w:val="AufzhlungspunkteCHG-MERIDIAN"/>
        <w:numPr>
          <w:ilvl w:val="0"/>
          <w:numId w:val="0"/>
        </w:numPr>
        <w:jc w:val="both"/>
        <w:rPr>
          <w:szCs w:val="19"/>
          <w:lang w:val="en-US"/>
        </w:rPr>
      </w:pPr>
    </w:p>
    <w:p w:rsidR="0093370E" w:rsidRPr="00962BA0" w:rsidRDefault="00BC2194" w:rsidP="00FD0A27">
      <w:pPr>
        <w:pStyle w:val="AufzhlungspunkteCHG-MERIDIAN"/>
        <w:numPr>
          <w:ilvl w:val="0"/>
          <w:numId w:val="0"/>
        </w:numPr>
        <w:jc w:val="both"/>
        <w:rPr>
          <w:lang w:val="en-US"/>
        </w:rPr>
      </w:pPr>
      <w:r w:rsidRPr="00962BA0">
        <w:rPr>
          <w:lang w:val="en-US"/>
        </w:rPr>
        <w:t>Since January 2015 CHG-MERIDIAN has succeeded in concluding more new contracts with customers than at the same time last year. As well as this, the number of remarketed used IT equipment units achieved new record values in the first half of 2015. Around 247,000 units of used equipment (1st half of 2014: 208,000 units) were successfully remarketed. 60,000 underwent the certified data deletion solution eraSURE (1st half of 2014: 40,000 units), these are also the highest levels yet in the company-own technology and service centers in Groß-Gerau (Germany) and Skien (Norway).</w:t>
      </w:r>
    </w:p>
    <w:p w:rsidR="0093370E" w:rsidRPr="00962BA0" w:rsidRDefault="0093370E" w:rsidP="00FD0A27">
      <w:pPr>
        <w:pStyle w:val="AufzhlungspunkteCHG-MERIDIAN"/>
        <w:numPr>
          <w:ilvl w:val="0"/>
          <w:numId w:val="0"/>
        </w:numPr>
        <w:jc w:val="both"/>
        <w:rPr>
          <w:lang w:val="en-US"/>
        </w:rPr>
      </w:pPr>
    </w:p>
    <w:p w:rsidR="00BC2194" w:rsidRPr="00962BA0" w:rsidRDefault="00BC2194" w:rsidP="00BC2194">
      <w:pPr>
        <w:pStyle w:val="AufzhlungspunkteCHG-MERIDIAN"/>
        <w:numPr>
          <w:ilvl w:val="0"/>
          <w:numId w:val="0"/>
        </w:numPr>
        <w:jc w:val="both"/>
        <w:rPr>
          <w:b/>
          <w:szCs w:val="19"/>
          <w:lang w:val="en-US"/>
        </w:rPr>
      </w:pPr>
      <w:r w:rsidRPr="00962BA0">
        <w:rPr>
          <w:b/>
          <w:bCs/>
          <w:szCs w:val="19"/>
          <w:lang w:val="en-US"/>
        </w:rPr>
        <w:t>Mossakowski: Remarketing contributes to sustainability</w:t>
      </w:r>
    </w:p>
    <w:p w:rsidR="00F8186B" w:rsidRPr="00962BA0" w:rsidRDefault="00BC2194" w:rsidP="00FD0A27">
      <w:pPr>
        <w:pStyle w:val="AufzhlungspunkteCHG-MERIDIAN"/>
        <w:numPr>
          <w:ilvl w:val="0"/>
          <w:numId w:val="0"/>
        </w:numPr>
        <w:jc w:val="both"/>
        <w:rPr>
          <w:lang w:val="en-US"/>
        </w:rPr>
      </w:pPr>
      <w:r w:rsidRPr="00962BA0">
        <w:rPr>
          <w:lang w:val="en-US"/>
        </w:rPr>
        <w:t>"Remarketing not only makes an enormously important contribution to our results. From an ecological and social point of view it also makes an important contribution to more sustainability in the IT world", says Jürgen Mossakowski, CEO of CHG-MERIDIAN. He takes it as a good sign: "Every day we are convincing new customers with our services. This shows me that we are on the right path. International expansion is an opportunity for us to succeed in global growth markets with an innovative service quality and with our down-to-earth business model."</w:t>
      </w:r>
    </w:p>
    <w:p w:rsidR="00F8186B" w:rsidRPr="00962BA0" w:rsidRDefault="00F8186B" w:rsidP="00FD0A27">
      <w:pPr>
        <w:pStyle w:val="AufzhlungspunkteCHG-MERIDIAN"/>
        <w:numPr>
          <w:ilvl w:val="0"/>
          <w:numId w:val="0"/>
        </w:numPr>
        <w:jc w:val="both"/>
        <w:rPr>
          <w:lang w:val="en-US"/>
        </w:rPr>
      </w:pPr>
    </w:p>
    <w:p w:rsidR="00F8186B" w:rsidRPr="00962BA0" w:rsidRDefault="0029061C" w:rsidP="00FD0A27">
      <w:pPr>
        <w:pStyle w:val="AufzhlungspunkteCHG-MERIDIAN"/>
        <w:numPr>
          <w:ilvl w:val="0"/>
          <w:numId w:val="0"/>
        </w:numPr>
        <w:jc w:val="both"/>
        <w:rPr>
          <w:lang w:val="en-US"/>
        </w:rPr>
      </w:pPr>
      <w:r w:rsidRPr="00962BA0">
        <w:rPr>
          <w:lang w:val="en-US"/>
        </w:rPr>
        <w:t xml:space="preserve">In terms of earnings the first half of the year was very positive for CHG-MERIDIAN: The total gross earnings of the group, i.e. the cash value of all new contracts and remarketing less direct purchasing and financing costs, climbed by 29.4 percent to €78 million in the first half of the year when compared to the same period in the previous year (1st half of </w:t>
      </w:r>
      <w:r w:rsidRPr="00962BA0">
        <w:rPr>
          <w:lang w:val="en-US"/>
        </w:rPr>
        <w:lastRenderedPageBreak/>
        <w:t xml:space="preserve">2014: €60 million). The large earnings contributions came primarily from the core European markets and - for the first time since market entry in 2009 - from the America/USA region. </w:t>
      </w:r>
    </w:p>
    <w:p w:rsidR="007C4FB7" w:rsidRPr="00962BA0" w:rsidRDefault="007C4FB7" w:rsidP="00FD0A27">
      <w:pPr>
        <w:pStyle w:val="AufzhlungspunkteCHG-MERIDIAN"/>
        <w:numPr>
          <w:ilvl w:val="0"/>
          <w:numId w:val="0"/>
        </w:numPr>
        <w:jc w:val="both"/>
        <w:rPr>
          <w:lang w:val="en-US"/>
        </w:rPr>
      </w:pPr>
    </w:p>
    <w:p w:rsidR="00BC2194" w:rsidRPr="00962BA0" w:rsidRDefault="00BC2194" w:rsidP="00FD0A27">
      <w:pPr>
        <w:pStyle w:val="AufzhlungspunkteCHG-MERIDIAN"/>
        <w:numPr>
          <w:ilvl w:val="0"/>
          <w:numId w:val="0"/>
        </w:numPr>
        <w:jc w:val="both"/>
        <w:rPr>
          <w:b/>
          <w:lang w:val="en-US"/>
        </w:rPr>
      </w:pPr>
      <w:r w:rsidRPr="00962BA0">
        <w:rPr>
          <w:b/>
          <w:bCs/>
          <w:lang w:val="en-US"/>
        </w:rPr>
        <w:t>Forecast for 2015: Ambitious targets will be achieved</w:t>
      </w:r>
    </w:p>
    <w:p w:rsidR="007C4FB7" w:rsidRPr="00962BA0" w:rsidRDefault="00BC2194" w:rsidP="00FD0A27">
      <w:pPr>
        <w:pStyle w:val="AufzhlungspunkteCHG-MERIDIAN"/>
        <w:numPr>
          <w:ilvl w:val="0"/>
          <w:numId w:val="0"/>
        </w:numPr>
        <w:jc w:val="both"/>
        <w:rPr>
          <w:lang w:val="en-US"/>
        </w:rPr>
      </w:pPr>
      <w:r w:rsidRPr="00962BA0">
        <w:rPr>
          <w:lang w:val="en-US"/>
        </w:rPr>
        <w:t xml:space="preserve">Mossakowski is </w:t>
      </w:r>
      <w:r w:rsidR="00962BA0" w:rsidRPr="00962BA0">
        <w:rPr>
          <w:lang w:val="en-US"/>
        </w:rPr>
        <w:t>confident</w:t>
      </w:r>
      <w:r w:rsidRPr="00962BA0">
        <w:rPr>
          <w:lang w:val="en-US"/>
        </w:rPr>
        <w:t xml:space="preserve"> that for the whole year the "sound barrier" of one million euros new investment volumes, which was cracked for the first time two years ago, will not only be achieved this year but also be supplemented by a possible "earnings record": "Our team is highly motivated and well positioned globally. I'm </w:t>
      </w:r>
      <w:r w:rsidR="00962BA0" w:rsidRPr="00962BA0">
        <w:rPr>
          <w:lang w:val="en-US"/>
        </w:rPr>
        <w:t>confident</w:t>
      </w:r>
      <w:r w:rsidRPr="00962BA0">
        <w:rPr>
          <w:lang w:val="en-US"/>
        </w:rPr>
        <w:t xml:space="preserve"> that we will continue our path to profitable growth", says Mossakowski.</w:t>
      </w:r>
    </w:p>
    <w:p w:rsidR="007C4FB7" w:rsidRPr="00962BA0" w:rsidRDefault="007C4FB7" w:rsidP="00FD0A27">
      <w:pPr>
        <w:pStyle w:val="AufzhlungspunkteCHG-MERIDIAN"/>
        <w:numPr>
          <w:ilvl w:val="0"/>
          <w:numId w:val="0"/>
        </w:numPr>
        <w:jc w:val="both"/>
        <w:rPr>
          <w:lang w:val="en-US"/>
        </w:rPr>
      </w:pPr>
    </w:p>
    <w:p w:rsidR="007C4FB7" w:rsidRPr="00962BA0" w:rsidRDefault="007C4FB7" w:rsidP="00FD0A27">
      <w:pPr>
        <w:pStyle w:val="AufzhlungspunkteCHG-MERIDIAN"/>
        <w:numPr>
          <w:ilvl w:val="0"/>
          <w:numId w:val="0"/>
        </w:numPr>
        <w:jc w:val="both"/>
        <w:rPr>
          <w:lang w:val="en-US"/>
        </w:rPr>
      </w:pPr>
      <w:r w:rsidRPr="00962BA0">
        <w:rPr>
          <w:lang w:val="en-US"/>
        </w:rPr>
        <w:t>Employees at the main office in Weingarten can look forward to new premises. Construction work is planned at the headquarters in Franz Beer Straße. CHG-MERIDIAN expects the completion of the modern extension in the first quarter of 2016, with staff being able to move in soon after.</w:t>
      </w:r>
    </w:p>
    <w:p w:rsidR="007B6068" w:rsidRPr="00962BA0" w:rsidRDefault="007B6068" w:rsidP="00FD0A27">
      <w:pPr>
        <w:pStyle w:val="AufzhlungspunkteCHG-MERIDIAN"/>
        <w:numPr>
          <w:ilvl w:val="0"/>
          <w:numId w:val="0"/>
        </w:numPr>
        <w:jc w:val="both"/>
        <w:rPr>
          <w:lang w:val="en-US"/>
        </w:rPr>
      </w:pPr>
    </w:p>
    <w:p w:rsidR="008C4758" w:rsidRPr="00962BA0" w:rsidRDefault="008C4758" w:rsidP="008C4758">
      <w:pPr>
        <w:pStyle w:val="AufzhlungspunkteCHG-MERIDIAN"/>
        <w:numPr>
          <w:ilvl w:val="0"/>
          <w:numId w:val="0"/>
        </w:numPr>
        <w:spacing w:line="360" w:lineRule="auto"/>
        <w:ind w:right="-1"/>
        <w:jc w:val="both"/>
        <w:rPr>
          <w:szCs w:val="19"/>
          <w:lang w:val="en-US"/>
        </w:rPr>
      </w:pPr>
    </w:p>
    <w:p w:rsidR="008C4758" w:rsidRPr="00962BA0" w:rsidRDefault="008C4758" w:rsidP="008C4758">
      <w:pPr>
        <w:pStyle w:val="AufzhlungspunkteCHG-MERIDIAN"/>
        <w:numPr>
          <w:ilvl w:val="0"/>
          <w:numId w:val="0"/>
        </w:numPr>
        <w:spacing w:line="360" w:lineRule="auto"/>
        <w:rPr>
          <w:sz w:val="22"/>
          <w:szCs w:val="19"/>
          <w:lang w:val="en-US"/>
        </w:rPr>
      </w:pPr>
      <w:r w:rsidRPr="00962BA0">
        <w:rPr>
          <w:b/>
          <w:bCs/>
          <w:caps/>
          <w:color w:val="7A716F" w:themeColor="text1"/>
          <w:sz w:val="22"/>
          <w:szCs w:val="19"/>
          <w:lang w:val="en-US"/>
        </w:rPr>
        <w:t>CHG-MERIDIAN Group financial figures – as of 30.06.2015</w:t>
      </w:r>
    </w:p>
    <w:tbl>
      <w:tblPr>
        <w:tblW w:w="9276" w:type="dxa"/>
        <w:tblInd w:w="70" w:type="dxa"/>
        <w:tblLayout w:type="fixed"/>
        <w:tblCellMar>
          <w:left w:w="70" w:type="dxa"/>
          <w:right w:w="70" w:type="dxa"/>
        </w:tblCellMar>
        <w:tblLook w:val="04A0" w:firstRow="1" w:lastRow="0" w:firstColumn="1" w:lastColumn="0" w:noHBand="0" w:noVBand="1"/>
      </w:tblPr>
      <w:tblGrid>
        <w:gridCol w:w="3828"/>
        <w:gridCol w:w="1816"/>
        <w:gridCol w:w="1816"/>
        <w:gridCol w:w="1816"/>
      </w:tblGrid>
      <w:tr w:rsidR="008C4758" w:rsidRPr="00962BA0" w:rsidTr="008C4758">
        <w:trPr>
          <w:trHeight w:val="210"/>
        </w:trPr>
        <w:tc>
          <w:tcPr>
            <w:tcW w:w="3828" w:type="dxa"/>
            <w:tcBorders>
              <w:top w:val="nil"/>
              <w:left w:val="nil"/>
              <w:right w:val="nil"/>
            </w:tcBorders>
            <w:shd w:val="clear" w:color="000000" w:fill="ACA53D"/>
            <w:noWrap/>
            <w:hideMark/>
          </w:tcPr>
          <w:p w:rsidR="008C4758" w:rsidRPr="00962BA0" w:rsidRDefault="008C4758" w:rsidP="008C4758">
            <w:pPr>
              <w:rPr>
                <w:b/>
                <w:color w:val="F8F8F8"/>
                <w:szCs w:val="19"/>
              </w:rPr>
            </w:pPr>
            <w:r w:rsidRPr="00962BA0">
              <w:rPr>
                <w:b/>
                <w:bCs/>
                <w:color w:val="F8F8F8"/>
                <w:szCs w:val="19"/>
              </w:rPr>
              <w:t>in TEUR</w:t>
            </w:r>
          </w:p>
        </w:tc>
        <w:tc>
          <w:tcPr>
            <w:tcW w:w="1816" w:type="dxa"/>
            <w:tcBorders>
              <w:top w:val="nil"/>
              <w:left w:val="nil"/>
              <w:right w:val="nil"/>
            </w:tcBorders>
            <w:shd w:val="clear" w:color="000000" w:fill="ACA53D"/>
            <w:noWrap/>
            <w:hideMark/>
          </w:tcPr>
          <w:p w:rsidR="008C4758" w:rsidRPr="00962BA0" w:rsidRDefault="008C4758" w:rsidP="0029061C">
            <w:pPr>
              <w:jc w:val="right"/>
              <w:rPr>
                <w:b/>
                <w:color w:val="F8F8F8"/>
                <w:szCs w:val="19"/>
              </w:rPr>
            </w:pPr>
            <w:r w:rsidRPr="00962BA0">
              <w:rPr>
                <w:b/>
                <w:bCs/>
                <w:color w:val="F8F8F8"/>
                <w:szCs w:val="19"/>
              </w:rPr>
              <w:t xml:space="preserve">             30.06.2015</w:t>
            </w:r>
          </w:p>
        </w:tc>
        <w:tc>
          <w:tcPr>
            <w:tcW w:w="1816" w:type="dxa"/>
            <w:tcBorders>
              <w:top w:val="nil"/>
              <w:left w:val="nil"/>
              <w:right w:val="nil"/>
            </w:tcBorders>
            <w:shd w:val="clear" w:color="000000" w:fill="ACA53D"/>
            <w:noWrap/>
            <w:hideMark/>
          </w:tcPr>
          <w:p w:rsidR="008C4758" w:rsidRPr="00962BA0" w:rsidRDefault="008C4758" w:rsidP="0029061C">
            <w:pPr>
              <w:jc w:val="right"/>
              <w:rPr>
                <w:b/>
                <w:color w:val="F8F8F8"/>
                <w:szCs w:val="19"/>
              </w:rPr>
            </w:pPr>
            <w:r w:rsidRPr="00962BA0">
              <w:rPr>
                <w:b/>
                <w:bCs/>
                <w:color w:val="F8F8F8"/>
                <w:szCs w:val="19"/>
              </w:rPr>
              <w:t xml:space="preserve">             30.06.2014</w:t>
            </w:r>
          </w:p>
        </w:tc>
        <w:tc>
          <w:tcPr>
            <w:tcW w:w="1816" w:type="dxa"/>
            <w:tcBorders>
              <w:top w:val="nil"/>
              <w:left w:val="nil"/>
              <w:right w:val="nil"/>
            </w:tcBorders>
            <w:shd w:val="clear" w:color="000000" w:fill="ACA53D"/>
            <w:noWrap/>
            <w:hideMark/>
          </w:tcPr>
          <w:p w:rsidR="008C4758" w:rsidRPr="00962BA0" w:rsidRDefault="008C4758" w:rsidP="008C4758">
            <w:pPr>
              <w:jc w:val="right"/>
              <w:rPr>
                <w:b/>
                <w:color w:val="F8F8F8"/>
                <w:szCs w:val="19"/>
              </w:rPr>
            </w:pPr>
            <w:r w:rsidRPr="00962BA0">
              <w:rPr>
                <w:b/>
                <w:bCs/>
                <w:color w:val="F8F8F8"/>
                <w:szCs w:val="19"/>
              </w:rPr>
              <w:t xml:space="preserve">                   2014</w:t>
            </w:r>
          </w:p>
        </w:tc>
      </w:tr>
      <w:tr w:rsidR="008C4758" w:rsidRPr="00962BA0" w:rsidTr="008C4758">
        <w:trPr>
          <w:trHeight w:val="240"/>
        </w:trPr>
        <w:tc>
          <w:tcPr>
            <w:tcW w:w="3828" w:type="dxa"/>
            <w:tcBorders>
              <w:top w:val="nil"/>
              <w:left w:val="nil"/>
              <w:right w:val="nil"/>
            </w:tcBorders>
            <w:shd w:val="clear" w:color="000000" w:fill="auto"/>
            <w:noWrap/>
            <w:vAlign w:val="bottom"/>
            <w:hideMark/>
          </w:tcPr>
          <w:p w:rsidR="008C4758" w:rsidRPr="00962BA0" w:rsidRDefault="008C4758" w:rsidP="008C4758">
            <w:pPr>
              <w:spacing w:line="240" w:lineRule="auto"/>
              <w:jc w:val="left"/>
              <w:rPr>
                <w:rFonts w:eastAsia="Times New Roman" w:cs="Arial"/>
                <w:color w:val="000000"/>
                <w:szCs w:val="19"/>
              </w:rPr>
            </w:pPr>
            <w:r w:rsidRPr="00962BA0">
              <w:rPr>
                <w:rFonts w:eastAsia="Times New Roman" w:cs="Arial"/>
                <w:color w:val="000000"/>
                <w:szCs w:val="19"/>
              </w:rPr>
              <w:t>New investment volumes (group)</w:t>
            </w:r>
          </w:p>
        </w:tc>
        <w:tc>
          <w:tcPr>
            <w:tcW w:w="1816" w:type="dxa"/>
            <w:tcBorders>
              <w:top w:val="nil"/>
              <w:left w:val="nil"/>
              <w:right w:val="nil"/>
            </w:tcBorders>
            <w:shd w:val="clear" w:color="000000" w:fill="auto"/>
            <w:noWrap/>
            <w:vAlign w:val="bottom"/>
          </w:tcPr>
          <w:p w:rsidR="008C4758" w:rsidRPr="00962BA0" w:rsidRDefault="006844D9" w:rsidP="008C4758">
            <w:pPr>
              <w:spacing w:line="240" w:lineRule="auto"/>
              <w:jc w:val="right"/>
              <w:rPr>
                <w:rFonts w:eastAsia="Times New Roman" w:cs="Arial"/>
                <w:color w:val="000000"/>
                <w:szCs w:val="19"/>
              </w:rPr>
            </w:pPr>
            <w:r w:rsidRPr="00962BA0">
              <w:rPr>
                <w:rFonts w:eastAsia="Times New Roman" w:cs="Arial"/>
                <w:color w:val="000000"/>
                <w:szCs w:val="19"/>
              </w:rPr>
              <w:t>468,246</w:t>
            </w:r>
          </w:p>
        </w:tc>
        <w:tc>
          <w:tcPr>
            <w:tcW w:w="1816" w:type="dxa"/>
            <w:tcBorders>
              <w:top w:val="nil"/>
              <w:left w:val="nil"/>
              <w:right w:val="nil"/>
            </w:tcBorders>
            <w:shd w:val="clear" w:color="000000" w:fill="auto"/>
            <w:noWrap/>
            <w:vAlign w:val="bottom"/>
          </w:tcPr>
          <w:p w:rsidR="008C4758" w:rsidRPr="00962BA0" w:rsidRDefault="001E5ED2" w:rsidP="008C4758">
            <w:pPr>
              <w:spacing w:line="240" w:lineRule="auto"/>
              <w:jc w:val="right"/>
              <w:rPr>
                <w:rFonts w:eastAsia="Times New Roman" w:cs="Arial"/>
                <w:color w:val="000000"/>
                <w:szCs w:val="19"/>
              </w:rPr>
            </w:pPr>
            <w:r w:rsidRPr="00962BA0">
              <w:rPr>
                <w:rFonts w:eastAsia="Times New Roman" w:cs="Arial"/>
                <w:color w:val="000000"/>
                <w:szCs w:val="19"/>
              </w:rPr>
              <w:t>448,195</w:t>
            </w:r>
          </w:p>
        </w:tc>
        <w:tc>
          <w:tcPr>
            <w:tcW w:w="1816" w:type="dxa"/>
            <w:tcBorders>
              <w:top w:val="nil"/>
              <w:left w:val="nil"/>
              <w:right w:val="nil"/>
            </w:tcBorders>
            <w:shd w:val="clear" w:color="000000" w:fill="auto"/>
            <w:noWrap/>
            <w:vAlign w:val="bottom"/>
          </w:tcPr>
          <w:p w:rsidR="008C4758" w:rsidRPr="00962BA0" w:rsidRDefault="00574E4E" w:rsidP="008C4758">
            <w:pPr>
              <w:spacing w:line="240" w:lineRule="auto"/>
              <w:jc w:val="right"/>
              <w:rPr>
                <w:rFonts w:eastAsia="Times New Roman" w:cs="Arial"/>
                <w:color w:val="000000"/>
                <w:szCs w:val="19"/>
              </w:rPr>
            </w:pPr>
            <w:r w:rsidRPr="00962BA0">
              <w:rPr>
                <w:rFonts w:eastAsia="Times New Roman" w:cs="Arial"/>
                <w:color w:val="000000"/>
                <w:szCs w:val="19"/>
              </w:rPr>
              <w:t>1,004,494</w:t>
            </w:r>
          </w:p>
        </w:tc>
      </w:tr>
      <w:tr w:rsidR="008C4758" w:rsidRPr="00962BA0" w:rsidTr="008C4758">
        <w:trPr>
          <w:trHeight w:val="240"/>
        </w:trPr>
        <w:tc>
          <w:tcPr>
            <w:tcW w:w="3828" w:type="dxa"/>
            <w:tcBorders>
              <w:top w:val="nil"/>
              <w:left w:val="nil"/>
              <w:right w:val="nil"/>
            </w:tcBorders>
            <w:shd w:val="clear" w:color="auto" w:fill="EEECE5" w:themeFill="background1" w:themeFillTint="66"/>
            <w:noWrap/>
            <w:vAlign w:val="bottom"/>
            <w:hideMark/>
          </w:tcPr>
          <w:p w:rsidR="008C4758" w:rsidRPr="00962BA0" w:rsidRDefault="008C4758" w:rsidP="008C4758">
            <w:pPr>
              <w:spacing w:line="240" w:lineRule="auto"/>
              <w:jc w:val="left"/>
              <w:rPr>
                <w:rFonts w:eastAsia="Times New Roman" w:cs="Arial"/>
                <w:color w:val="000000"/>
                <w:szCs w:val="19"/>
              </w:rPr>
            </w:pPr>
            <w:r w:rsidRPr="00962BA0">
              <w:rPr>
                <w:rFonts w:eastAsia="Times New Roman" w:cs="Arial"/>
                <w:color w:val="000000"/>
                <w:szCs w:val="19"/>
              </w:rPr>
              <w:t>by region:</w:t>
            </w:r>
          </w:p>
        </w:tc>
        <w:tc>
          <w:tcPr>
            <w:tcW w:w="1816" w:type="dxa"/>
            <w:tcBorders>
              <w:top w:val="nil"/>
              <w:left w:val="nil"/>
              <w:right w:val="nil"/>
            </w:tcBorders>
            <w:shd w:val="clear" w:color="auto" w:fill="EEECE5" w:themeFill="background1" w:themeFillTint="66"/>
            <w:noWrap/>
            <w:vAlign w:val="bottom"/>
          </w:tcPr>
          <w:p w:rsidR="008C4758" w:rsidRPr="00962BA0" w:rsidRDefault="008C4758" w:rsidP="008C4758">
            <w:pPr>
              <w:spacing w:line="240" w:lineRule="auto"/>
              <w:jc w:val="left"/>
              <w:rPr>
                <w:rFonts w:eastAsia="Times New Roman" w:cs="Arial"/>
                <w:color w:val="000000"/>
                <w:szCs w:val="19"/>
              </w:rPr>
            </w:pPr>
          </w:p>
        </w:tc>
        <w:tc>
          <w:tcPr>
            <w:tcW w:w="1816" w:type="dxa"/>
            <w:tcBorders>
              <w:top w:val="nil"/>
              <w:left w:val="nil"/>
              <w:right w:val="nil"/>
            </w:tcBorders>
            <w:shd w:val="clear" w:color="auto" w:fill="EEECE5" w:themeFill="background1" w:themeFillTint="66"/>
            <w:noWrap/>
            <w:vAlign w:val="bottom"/>
          </w:tcPr>
          <w:p w:rsidR="008C4758" w:rsidRPr="00962BA0" w:rsidRDefault="008C4758" w:rsidP="008C4758">
            <w:pPr>
              <w:spacing w:line="240" w:lineRule="auto"/>
              <w:jc w:val="left"/>
              <w:rPr>
                <w:rFonts w:eastAsia="Times New Roman" w:cs="Arial"/>
                <w:color w:val="000000"/>
                <w:szCs w:val="19"/>
              </w:rPr>
            </w:pPr>
          </w:p>
        </w:tc>
        <w:tc>
          <w:tcPr>
            <w:tcW w:w="1816" w:type="dxa"/>
            <w:tcBorders>
              <w:top w:val="nil"/>
              <w:left w:val="nil"/>
              <w:right w:val="nil"/>
            </w:tcBorders>
            <w:shd w:val="clear" w:color="auto" w:fill="EEECE5" w:themeFill="background1" w:themeFillTint="66"/>
            <w:noWrap/>
            <w:vAlign w:val="bottom"/>
          </w:tcPr>
          <w:p w:rsidR="008C4758" w:rsidRPr="00962BA0" w:rsidRDefault="008C4758" w:rsidP="008C4758">
            <w:pPr>
              <w:spacing w:line="240" w:lineRule="auto"/>
              <w:jc w:val="left"/>
              <w:rPr>
                <w:rFonts w:eastAsia="Times New Roman" w:cs="Arial"/>
                <w:color w:val="000000"/>
                <w:szCs w:val="19"/>
              </w:rPr>
            </w:pPr>
          </w:p>
        </w:tc>
      </w:tr>
      <w:tr w:rsidR="008C4758" w:rsidRPr="00962BA0" w:rsidTr="008C4758">
        <w:trPr>
          <w:trHeight w:val="240"/>
        </w:trPr>
        <w:tc>
          <w:tcPr>
            <w:tcW w:w="3828" w:type="dxa"/>
            <w:tcBorders>
              <w:top w:val="nil"/>
              <w:left w:val="nil"/>
              <w:bottom w:val="nil"/>
              <w:right w:val="nil"/>
            </w:tcBorders>
            <w:shd w:val="clear" w:color="auto" w:fill="EEECE5" w:themeFill="background1" w:themeFillTint="66"/>
            <w:noWrap/>
            <w:vAlign w:val="bottom"/>
            <w:hideMark/>
          </w:tcPr>
          <w:p w:rsidR="008C4758" w:rsidRPr="00962BA0" w:rsidRDefault="008C4758" w:rsidP="008C4758">
            <w:pPr>
              <w:spacing w:line="240" w:lineRule="auto"/>
              <w:jc w:val="left"/>
              <w:rPr>
                <w:rFonts w:eastAsia="Times New Roman" w:cs="Arial"/>
                <w:color w:val="000000"/>
                <w:szCs w:val="19"/>
              </w:rPr>
            </w:pPr>
            <w:r w:rsidRPr="00962BA0">
              <w:rPr>
                <w:rFonts w:eastAsia="Times New Roman" w:cs="Arial"/>
                <w:color w:val="000000"/>
                <w:szCs w:val="19"/>
              </w:rPr>
              <w:t>Central Europe (D, A, CH, SLO)</w:t>
            </w:r>
          </w:p>
        </w:tc>
        <w:tc>
          <w:tcPr>
            <w:tcW w:w="1816" w:type="dxa"/>
            <w:tcBorders>
              <w:top w:val="nil"/>
              <w:left w:val="nil"/>
              <w:bottom w:val="nil"/>
              <w:right w:val="nil"/>
            </w:tcBorders>
            <w:shd w:val="clear" w:color="auto" w:fill="EEECE5" w:themeFill="background1" w:themeFillTint="66"/>
            <w:noWrap/>
            <w:vAlign w:val="bottom"/>
          </w:tcPr>
          <w:p w:rsidR="008C4758" w:rsidRPr="00962BA0" w:rsidRDefault="006844D9" w:rsidP="008C4758">
            <w:pPr>
              <w:spacing w:line="240" w:lineRule="auto"/>
              <w:jc w:val="right"/>
              <w:rPr>
                <w:rFonts w:eastAsia="Times New Roman" w:cs="Arial"/>
                <w:color w:val="000000"/>
                <w:szCs w:val="19"/>
              </w:rPr>
            </w:pPr>
            <w:r w:rsidRPr="00962BA0">
              <w:rPr>
                <w:rFonts w:eastAsia="Times New Roman" w:cs="Arial"/>
                <w:color w:val="000000"/>
                <w:szCs w:val="19"/>
              </w:rPr>
              <w:t>243,189</w:t>
            </w:r>
          </w:p>
        </w:tc>
        <w:tc>
          <w:tcPr>
            <w:tcW w:w="1816" w:type="dxa"/>
            <w:tcBorders>
              <w:top w:val="nil"/>
              <w:left w:val="nil"/>
              <w:bottom w:val="nil"/>
              <w:right w:val="nil"/>
            </w:tcBorders>
            <w:shd w:val="clear" w:color="auto" w:fill="EEECE5" w:themeFill="background1" w:themeFillTint="66"/>
            <w:noWrap/>
            <w:vAlign w:val="bottom"/>
          </w:tcPr>
          <w:p w:rsidR="008C4758" w:rsidRPr="00962BA0" w:rsidRDefault="001E5ED2" w:rsidP="008C4758">
            <w:pPr>
              <w:spacing w:line="240" w:lineRule="auto"/>
              <w:jc w:val="right"/>
              <w:rPr>
                <w:rFonts w:eastAsia="Times New Roman" w:cs="Arial"/>
                <w:color w:val="000000"/>
                <w:szCs w:val="19"/>
              </w:rPr>
            </w:pPr>
            <w:r w:rsidRPr="00962BA0">
              <w:rPr>
                <w:rFonts w:eastAsia="Times New Roman" w:cs="Arial"/>
                <w:color w:val="000000"/>
                <w:szCs w:val="19"/>
              </w:rPr>
              <w:t>242,823</w:t>
            </w:r>
          </w:p>
        </w:tc>
        <w:tc>
          <w:tcPr>
            <w:tcW w:w="1816" w:type="dxa"/>
            <w:tcBorders>
              <w:top w:val="nil"/>
              <w:left w:val="nil"/>
              <w:bottom w:val="nil"/>
              <w:right w:val="nil"/>
            </w:tcBorders>
            <w:shd w:val="clear" w:color="auto" w:fill="EEECE5" w:themeFill="background1" w:themeFillTint="66"/>
            <w:noWrap/>
            <w:vAlign w:val="bottom"/>
          </w:tcPr>
          <w:p w:rsidR="008C4758" w:rsidRPr="00962BA0" w:rsidRDefault="00574E4E" w:rsidP="008C4758">
            <w:pPr>
              <w:spacing w:line="240" w:lineRule="auto"/>
              <w:jc w:val="right"/>
              <w:rPr>
                <w:rFonts w:eastAsia="Times New Roman" w:cs="Arial"/>
                <w:color w:val="000000"/>
                <w:szCs w:val="19"/>
              </w:rPr>
            </w:pPr>
            <w:r w:rsidRPr="00962BA0">
              <w:rPr>
                <w:rFonts w:eastAsia="Times New Roman" w:cs="Arial"/>
                <w:color w:val="000000"/>
                <w:szCs w:val="19"/>
              </w:rPr>
              <w:t>517,689</w:t>
            </w:r>
          </w:p>
        </w:tc>
      </w:tr>
      <w:tr w:rsidR="008C4758" w:rsidRPr="00962BA0" w:rsidTr="008C4758">
        <w:trPr>
          <w:trHeight w:val="240"/>
        </w:trPr>
        <w:tc>
          <w:tcPr>
            <w:tcW w:w="3828" w:type="dxa"/>
            <w:tcBorders>
              <w:top w:val="nil"/>
              <w:left w:val="nil"/>
              <w:right w:val="nil"/>
            </w:tcBorders>
            <w:shd w:val="clear" w:color="auto" w:fill="EEECE5" w:themeFill="background1" w:themeFillTint="66"/>
            <w:noWrap/>
            <w:vAlign w:val="bottom"/>
            <w:hideMark/>
          </w:tcPr>
          <w:p w:rsidR="008C4758" w:rsidRPr="00962BA0" w:rsidRDefault="008C4758" w:rsidP="008C4758">
            <w:pPr>
              <w:spacing w:line="240" w:lineRule="auto"/>
              <w:jc w:val="left"/>
              <w:rPr>
                <w:rFonts w:eastAsia="Times New Roman" w:cs="Arial"/>
                <w:color w:val="000000"/>
                <w:szCs w:val="19"/>
              </w:rPr>
            </w:pPr>
            <w:r w:rsidRPr="00962BA0">
              <w:rPr>
                <w:rFonts w:eastAsia="Times New Roman" w:cs="Arial"/>
                <w:color w:val="000000"/>
                <w:szCs w:val="19"/>
              </w:rPr>
              <w:t xml:space="preserve">Western Europe </w:t>
            </w:r>
          </w:p>
        </w:tc>
        <w:tc>
          <w:tcPr>
            <w:tcW w:w="1816" w:type="dxa"/>
            <w:tcBorders>
              <w:top w:val="nil"/>
              <w:left w:val="nil"/>
              <w:right w:val="nil"/>
            </w:tcBorders>
            <w:shd w:val="clear" w:color="auto" w:fill="EEECE5" w:themeFill="background1" w:themeFillTint="66"/>
            <w:noWrap/>
            <w:vAlign w:val="bottom"/>
          </w:tcPr>
          <w:p w:rsidR="008C4758" w:rsidRPr="00962BA0" w:rsidRDefault="006844D9" w:rsidP="008C4758">
            <w:pPr>
              <w:spacing w:line="240" w:lineRule="auto"/>
              <w:jc w:val="right"/>
              <w:rPr>
                <w:rFonts w:eastAsia="Times New Roman" w:cs="Arial"/>
                <w:color w:val="000000"/>
                <w:szCs w:val="19"/>
              </w:rPr>
            </w:pPr>
            <w:r w:rsidRPr="00962BA0">
              <w:rPr>
                <w:rFonts w:eastAsia="Times New Roman" w:cs="Arial"/>
                <w:color w:val="000000"/>
                <w:szCs w:val="19"/>
              </w:rPr>
              <w:t>79,623</w:t>
            </w:r>
          </w:p>
        </w:tc>
        <w:tc>
          <w:tcPr>
            <w:tcW w:w="1816" w:type="dxa"/>
            <w:tcBorders>
              <w:top w:val="nil"/>
              <w:left w:val="nil"/>
              <w:right w:val="nil"/>
            </w:tcBorders>
            <w:shd w:val="clear" w:color="auto" w:fill="EEECE5" w:themeFill="background1" w:themeFillTint="66"/>
            <w:noWrap/>
            <w:vAlign w:val="bottom"/>
          </w:tcPr>
          <w:p w:rsidR="008C4758" w:rsidRPr="00962BA0" w:rsidRDefault="006844D9" w:rsidP="008C4758">
            <w:pPr>
              <w:spacing w:line="240" w:lineRule="auto"/>
              <w:jc w:val="right"/>
              <w:rPr>
                <w:rFonts w:eastAsia="Times New Roman" w:cs="Arial"/>
                <w:color w:val="000000"/>
                <w:szCs w:val="19"/>
              </w:rPr>
            </w:pPr>
            <w:r w:rsidRPr="00962BA0">
              <w:rPr>
                <w:rFonts w:eastAsia="Times New Roman" w:cs="Arial"/>
                <w:color w:val="000000"/>
                <w:szCs w:val="19"/>
              </w:rPr>
              <w:t>68,077</w:t>
            </w:r>
          </w:p>
        </w:tc>
        <w:tc>
          <w:tcPr>
            <w:tcW w:w="1816" w:type="dxa"/>
            <w:tcBorders>
              <w:top w:val="nil"/>
              <w:left w:val="nil"/>
              <w:right w:val="nil"/>
            </w:tcBorders>
            <w:shd w:val="clear" w:color="auto" w:fill="EEECE5" w:themeFill="background1" w:themeFillTint="66"/>
            <w:noWrap/>
            <w:vAlign w:val="bottom"/>
          </w:tcPr>
          <w:p w:rsidR="008C4758" w:rsidRPr="00962BA0" w:rsidRDefault="00261633" w:rsidP="008C4758">
            <w:pPr>
              <w:spacing w:line="240" w:lineRule="auto"/>
              <w:jc w:val="right"/>
              <w:rPr>
                <w:rFonts w:eastAsia="Times New Roman" w:cs="Arial"/>
                <w:color w:val="000000"/>
                <w:szCs w:val="19"/>
              </w:rPr>
            </w:pPr>
            <w:r w:rsidRPr="00962BA0">
              <w:rPr>
                <w:rFonts w:eastAsia="Times New Roman" w:cs="Arial"/>
                <w:color w:val="000000"/>
                <w:szCs w:val="19"/>
              </w:rPr>
              <w:t>155,714</w:t>
            </w:r>
          </w:p>
        </w:tc>
      </w:tr>
      <w:tr w:rsidR="008C4758" w:rsidRPr="00962BA0" w:rsidTr="008C4758">
        <w:trPr>
          <w:trHeight w:val="240"/>
        </w:trPr>
        <w:tc>
          <w:tcPr>
            <w:tcW w:w="3828" w:type="dxa"/>
            <w:tcBorders>
              <w:top w:val="nil"/>
              <w:left w:val="nil"/>
              <w:bottom w:val="nil"/>
              <w:right w:val="nil"/>
            </w:tcBorders>
            <w:shd w:val="clear" w:color="auto" w:fill="EEECE5" w:themeFill="background1" w:themeFillTint="66"/>
            <w:noWrap/>
            <w:vAlign w:val="bottom"/>
            <w:hideMark/>
          </w:tcPr>
          <w:p w:rsidR="008C4758" w:rsidRPr="00962BA0" w:rsidRDefault="008C4758" w:rsidP="008C4758">
            <w:pPr>
              <w:spacing w:line="240" w:lineRule="auto"/>
              <w:jc w:val="left"/>
              <w:rPr>
                <w:rFonts w:eastAsia="Times New Roman" w:cs="Arial"/>
                <w:color w:val="000000"/>
                <w:szCs w:val="19"/>
              </w:rPr>
            </w:pPr>
            <w:r w:rsidRPr="00962BA0">
              <w:rPr>
                <w:rFonts w:eastAsia="Times New Roman" w:cs="Arial"/>
                <w:color w:val="000000"/>
                <w:szCs w:val="19"/>
              </w:rPr>
              <w:t>Southern Europe</w:t>
            </w:r>
          </w:p>
        </w:tc>
        <w:tc>
          <w:tcPr>
            <w:tcW w:w="1816" w:type="dxa"/>
            <w:tcBorders>
              <w:top w:val="nil"/>
              <w:left w:val="nil"/>
              <w:bottom w:val="nil"/>
              <w:right w:val="nil"/>
            </w:tcBorders>
            <w:shd w:val="clear" w:color="auto" w:fill="EEECE5" w:themeFill="background1" w:themeFillTint="66"/>
            <w:noWrap/>
            <w:vAlign w:val="bottom"/>
          </w:tcPr>
          <w:p w:rsidR="008C4758" w:rsidRPr="00962BA0" w:rsidRDefault="006844D9" w:rsidP="00443733">
            <w:pPr>
              <w:spacing w:line="240" w:lineRule="auto"/>
              <w:jc w:val="right"/>
              <w:rPr>
                <w:rFonts w:eastAsia="Times New Roman" w:cs="Arial"/>
                <w:color w:val="000000"/>
                <w:szCs w:val="19"/>
              </w:rPr>
            </w:pPr>
            <w:r w:rsidRPr="00962BA0">
              <w:rPr>
                <w:rFonts w:eastAsia="Times New Roman" w:cs="Arial"/>
                <w:color w:val="000000"/>
                <w:szCs w:val="19"/>
              </w:rPr>
              <w:t>54,916</w:t>
            </w:r>
          </w:p>
        </w:tc>
        <w:tc>
          <w:tcPr>
            <w:tcW w:w="1816" w:type="dxa"/>
            <w:tcBorders>
              <w:top w:val="nil"/>
              <w:left w:val="nil"/>
              <w:bottom w:val="nil"/>
              <w:right w:val="nil"/>
            </w:tcBorders>
            <w:shd w:val="clear" w:color="auto" w:fill="EEECE5" w:themeFill="background1" w:themeFillTint="66"/>
            <w:noWrap/>
            <w:vAlign w:val="bottom"/>
          </w:tcPr>
          <w:p w:rsidR="008C4758" w:rsidRPr="00962BA0" w:rsidRDefault="006844D9" w:rsidP="008C4758">
            <w:pPr>
              <w:spacing w:line="240" w:lineRule="auto"/>
              <w:jc w:val="right"/>
              <w:rPr>
                <w:rFonts w:eastAsia="Times New Roman" w:cs="Arial"/>
                <w:color w:val="000000"/>
                <w:szCs w:val="19"/>
              </w:rPr>
            </w:pPr>
            <w:r w:rsidRPr="00962BA0">
              <w:rPr>
                <w:rFonts w:eastAsia="Times New Roman" w:cs="Arial"/>
                <w:color w:val="000000"/>
                <w:szCs w:val="19"/>
              </w:rPr>
              <w:t>51,425</w:t>
            </w:r>
          </w:p>
        </w:tc>
        <w:tc>
          <w:tcPr>
            <w:tcW w:w="1816" w:type="dxa"/>
            <w:tcBorders>
              <w:top w:val="nil"/>
              <w:left w:val="nil"/>
              <w:bottom w:val="nil"/>
              <w:right w:val="nil"/>
            </w:tcBorders>
            <w:shd w:val="clear" w:color="auto" w:fill="EEECE5" w:themeFill="background1" w:themeFillTint="66"/>
            <w:noWrap/>
            <w:vAlign w:val="bottom"/>
          </w:tcPr>
          <w:p w:rsidR="008C4758" w:rsidRPr="00962BA0" w:rsidRDefault="00443733" w:rsidP="00443733">
            <w:pPr>
              <w:spacing w:line="240" w:lineRule="auto"/>
              <w:jc w:val="right"/>
              <w:rPr>
                <w:rFonts w:eastAsia="Times New Roman" w:cs="Arial"/>
                <w:color w:val="000000"/>
                <w:szCs w:val="19"/>
              </w:rPr>
            </w:pPr>
            <w:r w:rsidRPr="00962BA0">
              <w:rPr>
                <w:rFonts w:eastAsia="Times New Roman" w:cs="Arial"/>
                <w:color w:val="000000"/>
                <w:szCs w:val="19"/>
              </w:rPr>
              <w:t>115,785</w:t>
            </w:r>
          </w:p>
        </w:tc>
      </w:tr>
      <w:tr w:rsidR="008C4758" w:rsidRPr="00962BA0" w:rsidTr="008C4758">
        <w:trPr>
          <w:trHeight w:val="240"/>
        </w:trPr>
        <w:tc>
          <w:tcPr>
            <w:tcW w:w="3828" w:type="dxa"/>
            <w:tcBorders>
              <w:top w:val="nil"/>
              <w:left w:val="nil"/>
              <w:right w:val="nil"/>
            </w:tcBorders>
            <w:shd w:val="clear" w:color="auto" w:fill="EEECE5" w:themeFill="background1" w:themeFillTint="66"/>
            <w:noWrap/>
            <w:vAlign w:val="bottom"/>
            <w:hideMark/>
          </w:tcPr>
          <w:p w:rsidR="008C4758" w:rsidRPr="00962BA0" w:rsidRDefault="008C4758" w:rsidP="008C4758">
            <w:pPr>
              <w:spacing w:line="240" w:lineRule="auto"/>
              <w:jc w:val="left"/>
              <w:rPr>
                <w:rFonts w:eastAsia="Times New Roman" w:cs="Arial"/>
                <w:color w:val="000000"/>
                <w:szCs w:val="19"/>
              </w:rPr>
            </w:pPr>
            <w:r w:rsidRPr="00962BA0">
              <w:rPr>
                <w:rFonts w:eastAsia="Times New Roman" w:cs="Arial"/>
                <w:color w:val="000000"/>
                <w:szCs w:val="19"/>
              </w:rPr>
              <w:t>Eastern Europe</w:t>
            </w:r>
          </w:p>
        </w:tc>
        <w:tc>
          <w:tcPr>
            <w:tcW w:w="1816" w:type="dxa"/>
            <w:tcBorders>
              <w:top w:val="nil"/>
              <w:left w:val="nil"/>
              <w:right w:val="nil"/>
            </w:tcBorders>
            <w:shd w:val="clear" w:color="auto" w:fill="EEECE5" w:themeFill="background1" w:themeFillTint="66"/>
            <w:noWrap/>
            <w:vAlign w:val="bottom"/>
          </w:tcPr>
          <w:p w:rsidR="00443733" w:rsidRPr="00962BA0" w:rsidRDefault="006844D9" w:rsidP="00443733">
            <w:pPr>
              <w:spacing w:line="240" w:lineRule="auto"/>
              <w:jc w:val="right"/>
              <w:rPr>
                <w:rFonts w:eastAsia="Times New Roman" w:cs="Arial"/>
                <w:color w:val="000000"/>
                <w:szCs w:val="19"/>
              </w:rPr>
            </w:pPr>
            <w:r w:rsidRPr="00962BA0">
              <w:rPr>
                <w:rFonts w:eastAsia="Times New Roman" w:cs="Arial"/>
                <w:color w:val="000000"/>
                <w:szCs w:val="19"/>
              </w:rPr>
              <w:t>10,752</w:t>
            </w:r>
          </w:p>
        </w:tc>
        <w:tc>
          <w:tcPr>
            <w:tcW w:w="1816" w:type="dxa"/>
            <w:tcBorders>
              <w:top w:val="nil"/>
              <w:left w:val="nil"/>
              <w:right w:val="nil"/>
            </w:tcBorders>
            <w:shd w:val="clear" w:color="auto" w:fill="EEECE5" w:themeFill="background1" w:themeFillTint="66"/>
            <w:noWrap/>
            <w:vAlign w:val="bottom"/>
          </w:tcPr>
          <w:p w:rsidR="008C4758" w:rsidRPr="00962BA0" w:rsidRDefault="006844D9" w:rsidP="008C4758">
            <w:pPr>
              <w:spacing w:line="240" w:lineRule="auto"/>
              <w:jc w:val="right"/>
              <w:rPr>
                <w:rFonts w:eastAsia="Times New Roman" w:cs="Arial"/>
                <w:color w:val="000000"/>
                <w:szCs w:val="19"/>
              </w:rPr>
            </w:pPr>
            <w:r w:rsidRPr="00962BA0">
              <w:rPr>
                <w:rFonts w:eastAsia="Times New Roman" w:cs="Arial"/>
                <w:color w:val="000000"/>
                <w:szCs w:val="19"/>
              </w:rPr>
              <w:t>11,022</w:t>
            </w:r>
          </w:p>
        </w:tc>
        <w:tc>
          <w:tcPr>
            <w:tcW w:w="1816" w:type="dxa"/>
            <w:tcBorders>
              <w:top w:val="nil"/>
              <w:left w:val="nil"/>
              <w:right w:val="nil"/>
            </w:tcBorders>
            <w:shd w:val="clear" w:color="auto" w:fill="EEECE5" w:themeFill="background1" w:themeFillTint="66"/>
            <w:noWrap/>
            <w:vAlign w:val="bottom"/>
          </w:tcPr>
          <w:p w:rsidR="008C4758" w:rsidRPr="00962BA0" w:rsidRDefault="00443733" w:rsidP="008C4758">
            <w:pPr>
              <w:spacing w:line="240" w:lineRule="auto"/>
              <w:jc w:val="right"/>
              <w:rPr>
                <w:rFonts w:eastAsia="Times New Roman" w:cs="Arial"/>
                <w:color w:val="000000"/>
                <w:szCs w:val="19"/>
              </w:rPr>
            </w:pPr>
            <w:r w:rsidRPr="00962BA0">
              <w:rPr>
                <w:rFonts w:eastAsia="Times New Roman" w:cs="Arial"/>
                <w:color w:val="000000"/>
                <w:szCs w:val="19"/>
              </w:rPr>
              <w:t>21,177</w:t>
            </w:r>
          </w:p>
        </w:tc>
      </w:tr>
      <w:tr w:rsidR="008C4758" w:rsidRPr="00962BA0" w:rsidTr="008C4758">
        <w:trPr>
          <w:trHeight w:val="240"/>
        </w:trPr>
        <w:tc>
          <w:tcPr>
            <w:tcW w:w="3828" w:type="dxa"/>
            <w:tcBorders>
              <w:top w:val="nil"/>
              <w:left w:val="nil"/>
              <w:bottom w:val="nil"/>
              <w:right w:val="nil"/>
            </w:tcBorders>
            <w:shd w:val="clear" w:color="auto" w:fill="EEECE5" w:themeFill="background1" w:themeFillTint="66"/>
            <w:noWrap/>
            <w:vAlign w:val="bottom"/>
          </w:tcPr>
          <w:p w:rsidR="008C4758" w:rsidRPr="00962BA0" w:rsidRDefault="008C4758" w:rsidP="008C4758">
            <w:pPr>
              <w:spacing w:line="240" w:lineRule="auto"/>
              <w:jc w:val="left"/>
              <w:rPr>
                <w:rFonts w:eastAsia="Times New Roman" w:cs="Arial"/>
                <w:color w:val="000000"/>
                <w:szCs w:val="19"/>
              </w:rPr>
            </w:pPr>
            <w:r w:rsidRPr="00962BA0">
              <w:rPr>
                <w:rFonts w:eastAsia="Times New Roman" w:cs="Arial"/>
                <w:color w:val="000000"/>
                <w:szCs w:val="19"/>
              </w:rPr>
              <w:t>Northern Europe</w:t>
            </w:r>
          </w:p>
        </w:tc>
        <w:tc>
          <w:tcPr>
            <w:tcW w:w="1816" w:type="dxa"/>
            <w:tcBorders>
              <w:top w:val="nil"/>
              <w:left w:val="nil"/>
              <w:bottom w:val="nil"/>
              <w:right w:val="nil"/>
            </w:tcBorders>
            <w:shd w:val="clear" w:color="auto" w:fill="EEECE5" w:themeFill="background1" w:themeFillTint="66"/>
            <w:noWrap/>
            <w:vAlign w:val="bottom"/>
          </w:tcPr>
          <w:p w:rsidR="008C4758" w:rsidRPr="00962BA0" w:rsidRDefault="006844D9" w:rsidP="008C4758">
            <w:pPr>
              <w:spacing w:line="240" w:lineRule="auto"/>
              <w:jc w:val="right"/>
              <w:rPr>
                <w:rFonts w:eastAsia="Times New Roman" w:cs="Arial"/>
                <w:color w:val="000000"/>
                <w:szCs w:val="19"/>
              </w:rPr>
            </w:pPr>
            <w:r w:rsidRPr="00962BA0">
              <w:rPr>
                <w:rFonts w:eastAsia="Times New Roman" w:cs="Arial"/>
                <w:color w:val="000000"/>
                <w:szCs w:val="19"/>
              </w:rPr>
              <w:t>20,229</w:t>
            </w:r>
          </w:p>
        </w:tc>
        <w:tc>
          <w:tcPr>
            <w:tcW w:w="1816" w:type="dxa"/>
            <w:tcBorders>
              <w:top w:val="nil"/>
              <w:left w:val="nil"/>
              <w:bottom w:val="nil"/>
              <w:right w:val="nil"/>
            </w:tcBorders>
            <w:shd w:val="clear" w:color="auto" w:fill="EEECE5" w:themeFill="background1" w:themeFillTint="66"/>
            <w:noWrap/>
            <w:vAlign w:val="bottom"/>
          </w:tcPr>
          <w:p w:rsidR="008C4758" w:rsidRPr="00962BA0" w:rsidRDefault="00443733" w:rsidP="008C4758">
            <w:pPr>
              <w:spacing w:line="240" w:lineRule="auto"/>
              <w:jc w:val="right"/>
              <w:rPr>
                <w:rFonts w:eastAsia="Times New Roman" w:cs="Arial"/>
                <w:color w:val="000000"/>
                <w:szCs w:val="19"/>
              </w:rPr>
            </w:pPr>
            <w:r w:rsidRPr="00962BA0">
              <w:rPr>
                <w:rFonts w:eastAsia="Times New Roman" w:cs="Arial"/>
                <w:color w:val="000000"/>
                <w:szCs w:val="19"/>
              </w:rPr>
              <w:t>- -</w:t>
            </w:r>
          </w:p>
        </w:tc>
        <w:tc>
          <w:tcPr>
            <w:tcW w:w="1816" w:type="dxa"/>
            <w:tcBorders>
              <w:top w:val="nil"/>
              <w:left w:val="nil"/>
              <w:bottom w:val="nil"/>
              <w:right w:val="nil"/>
            </w:tcBorders>
            <w:shd w:val="clear" w:color="auto" w:fill="EEECE5" w:themeFill="background1" w:themeFillTint="66"/>
            <w:noWrap/>
            <w:vAlign w:val="bottom"/>
          </w:tcPr>
          <w:p w:rsidR="008C4758" w:rsidRPr="00962BA0" w:rsidRDefault="00443733" w:rsidP="008C4758">
            <w:pPr>
              <w:spacing w:line="240" w:lineRule="auto"/>
              <w:jc w:val="right"/>
              <w:rPr>
                <w:rFonts w:eastAsia="Times New Roman" w:cs="Arial"/>
                <w:color w:val="000000"/>
                <w:szCs w:val="19"/>
              </w:rPr>
            </w:pPr>
            <w:r w:rsidRPr="00962BA0">
              <w:rPr>
                <w:rFonts w:eastAsia="Times New Roman" w:cs="Arial"/>
                <w:color w:val="000000"/>
                <w:szCs w:val="19"/>
              </w:rPr>
              <w:t>22,711</w:t>
            </w:r>
          </w:p>
        </w:tc>
      </w:tr>
      <w:tr w:rsidR="008C4758" w:rsidRPr="00962BA0" w:rsidTr="008C4758">
        <w:trPr>
          <w:trHeight w:val="240"/>
        </w:trPr>
        <w:tc>
          <w:tcPr>
            <w:tcW w:w="3828" w:type="dxa"/>
            <w:tcBorders>
              <w:top w:val="nil"/>
              <w:left w:val="nil"/>
              <w:bottom w:val="nil"/>
              <w:right w:val="nil"/>
            </w:tcBorders>
            <w:shd w:val="clear" w:color="auto" w:fill="EEECE5" w:themeFill="background1" w:themeFillTint="66"/>
            <w:noWrap/>
            <w:vAlign w:val="bottom"/>
            <w:hideMark/>
          </w:tcPr>
          <w:p w:rsidR="008C4758" w:rsidRPr="00962BA0" w:rsidRDefault="008C4758" w:rsidP="008C4758">
            <w:pPr>
              <w:spacing w:line="240" w:lineRule="auto"/>
              <w:jc w:val="left"/>
              <w:rPr>
                <w:rFonts w:eastAsia="Times New Roman" w:cs="Arial"/>
                <w:color w:val="000000"/>
                <w:szCs w:val="19"/>
              </w:rPr>
            </w:pPr>
            <w:r w:rsidRPr="00962BA0">
              <w:rPr>
                <w:rFonts w:eastAsia="Times New Roman" w:cs="Arial"/>
                <w:color w:val="000000"/>
                <w:szCs w:val="19"/>
              </w:rPr>
              <w:t>Americas</w:t>
            </w:r>
          </w:p>
        </w:tc>
        <w:tc>
          <w:tcPr>
            <w:tcW w:w="1816" w:type="dxa"/>
            <w:tcBorders>
              <w:top w:val="nil"/>
              <w:left w:val="nil"/>
              <w:bottom w:val="nil"/>
              <w:right w:val="nil"/>
            </w:tcBorders>
            <w:shd w:val="clear" w:color="auto" w:fill="EEECE5" w:themeFill="background1" w:themeFillTint="66"/>
            <w:noWrap/>
            <w:vAlign w:val="bottom"/>
          </w:tcPr>
          <w:p w:rsidR="008C4758" w:rsidRPr="00962BA0" w:rsidRDefault="006844D9" w:rsidP="008C4758">
            <w:pPr>
              <w:spacing w:line="240" w:lineRule="auto"/>
              <w:jc w:val="right"/>
              <w:rPr>
                <w:rFonts w:eastAsia="Times New Roman" w:cs="Arial"/>
                <w:color w:val="000000"/>
                <w:szCs w:val="19"/>
              </w:rPr>
            </w:pPr>
            <w:r w:rsidRPr="00962BA0">
              <w:rPr>
                <w:rFonts w:eastAsia="Times New Roman" w:cs="Arial"/>
                <w:color w:val="000000"/>
                <w:szCs w:val="19"/>
              </w:rPr>
              <w:t>59,537</w:t>
            </w:r>
          </w:p>
        </w:tc>
        <w:tc>
          <w:tcPr>
            <w:tcW w:w="1816" w:type="dxa"/>
            <w:tcBorders>
              <w:top w:val="nil"/>
              <w:left w:val="nil"/>
              <w:bottom w:val="nil"/>
              <w:right w:val="nil"/>
            </w:tcBorders>
            <w:shd w:val="clear" w:color="auto" w:fill="EEECE5" w:themeFill="background1" w:themeFillTint="66"/>
            <w:noWrap/>
            <w:vAlign w:val="bottom"/>
          </w:tcPr>
          <w:p w:rsidR="008C4758" w:rsidRPr="00962BA0" w:rsidRDefault="006844D9" w:rsidP="008C4758">
            <w:pPr>
              <w:spacing w:line="240" w:lineRule="auto"/>
              <w:jc w:val="right"/>
              <w:rPr>
                <w:rFonts w:eastAsia="Times New Roman" w:cs="Arial"/>
                <w:color w:val="000000"/>
                <w:szCs w:val="19"/>
              </w:rPr>
            </w:pPr>
            <w:r w:rsidRPr="00962BA0">
              <w:rPr>
                <w:rFonts w:eastAsia="Times New Roman" w:cs="Arial"/>
                <w:color w:val="000000"/>
                <w:szCs w:val="19"/>
              </w:rPr>
              <w:t>74,848</w:t>
            </w:r>
          </w:p>
        </w:tc>
        <w:tc>
          <w:tcPr>
            <w:tcW w:w="1816" w:type="dxa"/>
            <w:tcBorders>
              <w:top w:val="nil"/>
              <w:left w:val="nil"/>
              <w:bottom w:val="nil"/>
              <w:right w:val="nil"/>
            </w:tcBorders>
            <w:shd w:val="clear" w:color="auto" w:fill="EEECE5" w:themeFill="background1" w:themeFillTint="66"/>
            <w:noWrap/>
            <w:vAlign w:val="bottom"/>
          </w:tcPr>
          <w:p w:rsidR="008C4758" w:rsidRPr="00962BA0" w:rsidRDefault="00443733" w:rsidP="008C4758">
            <w:pPr>
              <w:spacing w:line="240" w:lineRule="auto"/>
              <w:jc w:val="right"/>
              <w:rPr>
                <w:rFonts w:eastAsia="Times New Roman" w:cs="Arial"/>
                <w:color w:val="000000"/>
                <w:szCs w:val="19"/>
              </w:rPr>
            </w:pPr>
            <w:r w:rsidRPr="00962BA0">
              <w:rPr>
                <w:rFonts w:eastAsia="Times New Roman" w:cs="Arial"/>
                <w:color w:val="000000"/>
                <w:szCs w:val="19"/>
              </w:rPr>
              <w:t>171,418</w:t>
            </w:r>
          </w:p>
        </w:tc>
      </w:tr>
      <w:tr w:rsidR="008C4758" w:rsidRPr="00962BA0" w:rsidTr="008C4758">
        <w:trPr>
          <w:trHeight w:val="240"/>
        </w:trPr>
        <w:tc>
          <w:tcPr>
            <w:tcW w:w="3828" w:type="dxa"/>
            <w:tcBorders>
              <w:top w:val="nil"/>
              <w:left w:val="nil"/>
              <w:bottom w:val="nil"/>
              <w:right w:val="nil"/>
            </w:tcBorders>
            <w:shd w:val="clear" w:color="auto" w:fill="auto"/>
            <w:noWrap/>
            <w:vAlign w:val="bottom"/>
            <w:hideMark/>
          </w:tcPr>
          <w:p w:rsidR="008C4758" w:rsidRPr="00962BA0" w:rsidRDefault="008C4758" w:rsidP="008C4758">
            <w:pPr>
              <w:spacing w:line="240" w:lineRule="auto"/>
              <w:jc w:val="left"/>
              <w:rPr>
                <w:rFonts w:eastAsia="Times New Roman" w:cs="Arial"/>
                <w:color w:val="000000"/>
                <w:szCs w:val="19"/>
              </w:rPr>
            </w:pPr>
            <w:r w:rsidRPr="00962BA0">
              <w:rPr>
                <w:rFonts w:eastAsia="Times New Roman" w:cs="Arial"/>
                <w:color w:val="000000"/>
                <w:szCs w:val="19"/>
              </w:rPr>
              <w:t>National (Germany)</w:t>
            </w:r>
          </w:p>
        </w:tc>
        <w:tc>
          <w:tcPr>
            <w:tcW w:w="1816" w:type="dxa"/>
            <w:tcBorders>
              <w:top w:val="nil"/>
              <w:left w:val="nil"/>
              <w:bottom w:val="nil"/>
              <w:right w:val="nil"/>
            </w:tcBorders>
            <w:shd w:val="clear" w:color="auto" w:fill="auto"/>
            <w:noWrap/>
            <w:vAlign w:val="bottom"/>
          </w:tcPr>
          <w:p w:rsidR="008C4758" w:rsidRPr="00962BA0" w:rsidRDefault="006844D9" w:rsidP="008C4758">
            <w:pPr>
              <w:spacing w:line="240" w:lineRule="auto"/>
              <w:jc w:val="right"/>
              <w:rPr>
                <w:rFonts w:eastAsia="Times New Roman" w:cs="Arial"/>
                <w:color w:val="000000"/>
                <w:szCs w:val="19"/>
              </w:rPr>
            </w:pPr>
            <w:r w:rsidRPr="00962BA0">
              <w:rPr>
                <w:rFonts w:eastAsia="Times New Roman" w:cs="Arial"/>
                <w:color w:val="000000"/>
                <w:szCs w:val="19"/>
              </w:rPr>
              <w:t>226,964</w:t>
            </w:r>
          </w:p>
        </w:tc>
        <w:tc>
          <w:tcPr>
            <w:tcW w:w="1816" w:type="dxa"/>
            <w:tcBorders>
              <w:top w:val="nil"/>
              <w:left w:val="nil"/>
              <w:bottom w:val="nil"/>
              <w:right w:val="nil"/>
            </w:tcBorders>
            <w:shd w:val="clear" w:color="auto" w:fill="auto"/>
            <w:noWrap/>
            <w:vAlign w:val="bottom"/>
          </w:tcPr>
          <w:p w:rsidR="008C4758" w:rsidRPr="00962BA0" w:rsidRDefault="006844D9" w:rsidP="008C4758">
            <w:pPr>
              <w:spacing w:line="240" w:lineRule="auto"/>
              <w:jc w:val="right"/>
              <w:rPr>
                <w:rFonts w:eastAsia="Times New Roman" w:cs="Arial"/>
                <w:color w:val="000000"/>
                <w:szCs w:val="19"/>
              </w:rPr>
            </w:pPr>
            <w:r w:rsidRPr="00962BA0">
              <w:rPr>
                <w:rFonts w:eastAsia="Times New Roman" w:cs="Arial"/>
                <w:color w:val="000000"/>
                <w:szCs w:val="19"/>
              </w:rPr>
              <w:t>228,963</w:t>
            </w:r>
          </w:p>
        </w:tc>
        <w:tc>
          <w:tcPr>
            <w:tcW w:w="1816" w:type="dxa"/>
            <w:tcBorders>
              <w:top w:val="nil"/>
              <w:left w:val="nil"/>
              <w:bottom w:val="nil"/>
              <w:right w:val="nil"/>
            </w:tcBorders>
            <w:shd w:val="clear" w:color="auto" w:fill="auto"/>
            <w:noWrap/>
            <w:vAlign w:val="bottom"/>
          </w:tcPr>
          <w:p w:rsidR="008C4758" w:rsidRPr="00962BA0" w:rsidRDefault="00443733" w:rsidP="008C4758">
            <w:pPr>
              <w:spacing w:line="240" w:lineRule="auto"/>
              <w:jc w:val="right"/>
              <w:rPr>
                <w:rFonts w:eastAsia="Times New Roman" w:cs="Arial"/>
                <w:color w:val="000000"/>
                <w:szCs w:val="19"/>
              </w:rPr>
            </w:pPr>
            <w:r w:rsidRPr="00962BA0">
              <w:rPr>
                <w:rFonts w:eastAsia="Times New Roman" w:cs="Arial"/>
                <w:color w:val="000000"/>
                <w:szCs w:val="19"/>
              </w:rPr>
              <w:t>491,149</w:t>
            </w:r>
          </w:p>
        </w:tc>
      </w:tr>
      <w:tr w:rsidR="008C4758" w:rsidRPr="00962BA0" w:rsidTr="008C4758">
        <w:trPr>
          <w:trHeight w:val="240"/>
        </w:trPr>
        <w:tc>
          <w:tcPr>
            <w:tcW w:w="3828" w:type="dxa"/>
            <w:tcBorders>
              <w:top w:val="nil"/>
              <w:left w:val="nil"/>
              <w:bottom w:val="nil"/>
              <w:right w:val="nil"/>
            </w:tcBorders>
            <w:shd w:val="clear" w:color="auto" w:fill="auto"/>
            <w:noWrap/>
            <w:vAlign w:val="bottom"/>
            <w:hideMark/>
          </w:tcPr>
          <w:p w:rsidR="008C4758" w:rsidRPr="00962BA0" w:rsidRDefault="008C4758" w:rsidP="008C4758">
            <w:pPr>
              <w:spacing w:line="240" w:lineRule="auto"/>
              <w:jc w:val="left"/>
              <w:rPr>
                <w:rFonts w:eastAsia="Times New Roman" w:cs="Arial"/>
                <w:color w:val="000000"/>
                <w:szCs w:val="19"/>
              </w:rPr>
            </w:pPr>
            <w:r w:rsidRPr="00962BA0">
              <w:rPr>
                <w:rFonts w:eastAsia="Times New Roman" w:cs="Arial"/>
                <w:color w:val="000000"/>
                <w:szCs w:val="19"/>
              </w:rPr>
              <w:t>International</w:t>
            </w:r>
          </w:p>
        </w:tc>
        <w:tc>
          <w:tcPr>
            <w:tcW w:w="1816" w:type="dxa"/>
            <w:tcBorders>
              <w:top w:val="nil"/>
              <w:left w:val="nil"/>
              <w:bottom w:val="nil"/>
              <w:right w:val="nil"/>
            </w:tcBorders>
            <w:shd w:val="clear" w:color="auto" w:fill="auto"/>
            <w:noWrap/>
            <w:vAlign w:val="bottom"/>
          </w:tcPr>
          <w:p w:rsidR="008C4758" w:rsidRPr="00962BA0" w:rsidRDefault="006844D9" w:rsidP="008C4758">
            <w:pPr>
              <w:spacing w:line="240" w:lineRule="auto"/>
              <w:jc w:val="right"/>
              <w:rPr>
                <w:rFonts w:eastAsia="Times New Roman" w:cs="Arial"/>
                <w:color w:val="000000"/>
                <w:szCs w:val="19"/>
              </w:rPr>
            </w:pPr>
            <w:r w:rsidRPr="00962BA0">
              <w:rPr>
                <w:rFonts w:eastAsia="Times New Roman" w:cs="Arial"/>
                <w:color w:val="000000"/>
                <w:szCs w:val="19"/>
              </w:rPr>
              <w:t>241,282</w:t>
            </w:r>
          </w:p>
        </w:tc>
        <w:tc>
          <w:tcPr>
            <w:tcW w:w="1816" w:type="dxa"/>
            <w:tcBorders>
              <w:top w:val="nil"/>
              <w:left w:val="nil"/>
              <w:bottom w:val="nil"/>
              <w:right w:val="nil"/>
            </w:tcBorders>
            <w:shd w:val="clear" w:color="auto" w:fill="auto"/>
            <w:noWrap/>
            <w:vAlign w:val="bottom"/>
          </w:tcPr>
          <w:p w:rsidR="008C4758" w:rsidRPr="00962BA0" w:rsidRDefault="006844D9" w:rsidP="008C4758">
            <w:pPr>
              <w:spacing w:line="240" w:lineRule="auto"/>
              <w:jc w:val="right"/>
              <w:rPr>
                <w:rFonts w:eastAsia="Times New Roman" w:cs="Arial"/>
                <w:color w:val="000000"/>
                <w:szCs w:val="19"/>
              </w:rPr>
            </w:pPr>
            <w:r w:rsidRPr="00962BA0">
              <w:rPr>
                <w:rFonts w:eastAsia="Times New Roman" w:cs="Arial"/>
                <w:color w:val="000000"/>
                <w:szCs w:val="19"/>
              </w:rPr>
              <w:t>219,232</w:t>
            </w:r>
          </w:p>
        </w:tc>
        <w:tc>
          <w:tcPr>
            <w:tcW w:w="1816" w:type="dxa"/>
            <w:tcBorders>
              <w:top w:val="nil"/>
              <w:left w:val="nil"/>
              <w:bottom w:val="nil"/>
              <w:right w:val="nil"/>
            </w:tcBorders>
            <w:shd w:val="clear" w:color="auto" w:fill="auto"/>
            <w:noWrap/>
            <w:vAlign w:val="bottom"/>
          </w:tcPr>
          <w:p w:rsidR="008C4758" w:rsidRPr="00962BA0" w:rsidRDefault="00443733" w:rsidP="008C4758">
            <w:pPr>
              <w:spacing w:line="240" w:lineRule="auto"/>
              <w:jc w:val="right"/>
              <w:rPr>
                <w:rFonts w:eastAsia="Times New Roman" w:cs="Arial"/>
                <w:color w:val="000000"/>
                <w:szCs w:val="19"/>
              </w:rPr>
            </w:pPr>
            <w:r w:rsidRPr="00962BA0">
              <w:rPr>
                <w:rFonts w:eastAsia="Times New Roman" w:cs="Arial"/>
                <w:color w:val="000000"/>
                <w:szCs w:val="19"/>
              </w:rPr>
              <w:t>513,345</w:t>
            </w:r>
          </w:p>
        </w:tc>
      </w:tr>
      <w:tr w:rsidR="008C4758" w:rsidRPr="00962BA0" w:rsidTr="008C4758">
        <w:trPr>
          <w:trHeight w:val="240"/>
        </w:trPr>
        <w:tc>
          <w:tcPr>
            <w:tcW w:w="3828" w:type="dxa"/>
            <w:tcBorders>
              <w:top w:val="nil"/>
              <w:left w:val="nil"/>
              <w:right w:val="nil"/>
            </w:tcBorders>
            <w:shd w:val="clear" w:color="auto" w:fill="E6E3D9" w:themeFill="background1" w:themeFillTint="99"/>
            <w:noWrap/>
            <w:vAlign w:val="bottom"/>
            <w:hideMark/>
          </w:tcPr>
          <w:p w:rsidR="008C4758" w:rsidRPr="00962BA0" w:rsidRDefault="008C4758" w:rsidP="008C4758">
            <w:pPr>
              <w:spacing w:line="240" w:lineRule="auto"/>
              <w:jc w:val="left"/>
              <w:rPr>
                <w:rFonts w:eastAsia="Times New Roman" w:cs="Arial"/>
                <w:color w:val="000000"/>
                <w:szCs w:val="19"/>
              </w:rPr>
            </w:pPr>
            <w:r w:rsidRPr="00962BA0">
              <w:rPr>
                <w:rFonts w:eastAsia="Times New Roman" w:cs="Arial"/>
                <w:color w:val="000000"/>
                <w:szCs w:val="19"/>
              </w:rPr>
              <w:t>New investment volumes with new customers</w:t>
            </w:r>
          </w:p>
        </w:tc>
        <w:tc>
          <w:tcPr>
            <w:tcW w:w="1816" w:type="dxa"/>
            <w:tcBorders>
              <w:top w:val="nil"/>
              <w:left w:val="nil"/>
              <w:right w:val="nil"/>
            </w:tcBorders>
            <w:shd w:val="clear" w:color="auto" w:fill="E6E3D9" w:themeFill="background1" w:themeFillTint="99"/>
            <w:noWrap/>
            <w:vAlign w:val="bottom"/>
          </w:tcPr>
          <w:p w:rsidR="008C4758" w:rsidRPr="00962BA0" w:rsidRDefault="006844D9" w:rsidP="008C4758">
            <w:pPr>
              <w:spacing w:line="240" w:lineRule="auto"/>
              <w:jc w:val="right"/>
              <w:rPr>
                <w:rFonts w:eastAsia="Times New Roman" w:cs="Arial"/>
                <w:color w:val="000000"/>
                <w:szCs w:val="19"/>
              </w:rPr>
            </w:pPr>
            <w:r w:rsidRPr="00962BA0">
              <w:rPr>
                <w:rFonts w:eastAsia="Times New Roman" w:cs="Arial"/>
                <w:color w:val="000000"/>
                <w:szCs w:val="19"/>
              </w:rPr>
              <w:t>96,786</w:t>
            </w:r>
          </w:p>
        </w:tc>
        <w:tc>
          <w:tcPr>
            <w:tcW w:w="1816" w:type="dxa"/>
            <w:tcBorders>
              <w:top w:val="nil"/>
              <w:left w:val="nil"/>
              <w:right w:val="nil"/>
            </w:tcBorders>
            <w:shd w:val="clear" w:color="auto" w:fill="E6E3D9" w:themeFill="background1" w:themeFillTint="99"/>
            <w:noWrap/>
            <w:vAlign w:val="bottom"/>
          </w:tcPr>
          <w:p w:rsidR="008C4758" w:rsidRPr="00962BA0" w:rsidRDefault="006844D9" w:rsidP="008C4758">
            <w:pPr>
              <w:spacing w:line="240" w:lineRule="auto"/>
              <w:jc w:val="right"/>
              <w:rPr>
                <w:rFonts w:eastAsia="Times New Roman" w:cs="Arial"/>
                <w:color w:val="000000"/>
                <w:szCs w:val="19"/>
              </w:rPr>
            </w:pPr>
            <w:r w:rsidRPr="00962BA0">
              <w:rPr>
                <w:rFonts w:eastAsia="Times New Roman" w:cs="Arial"/>
                <w:color w:val="000000"/>
                <w:szCs w:val="19"/>
              </w:rPr>
              <w:t>111,742</w:t>
            </w:r>
          </w:p>
        </w:tc>
        <w:tc>
          <w:tcPr>
            <w:tcW w:w="1816" w:type="dxa"/>
            <w:tcBorders>
              <w:top w:val="nil"/>
              <w:left w:val="nil"/>
              <w:right w:val="nil"/>
            </w:tcBorders>
            <w:shd w:val="clear" w:color="auto" w:fill="E6E3D9" w:themeFill="background1" w:themeFillTint="99"/>
            <w:noWrap/>
            <w:vAlign w:val="bottom"/>
          </w:tcPr>
          <w:p w:rsidR="008C4758" w:rsidRPr="00962BA0" w:rsidRDefault="00443733" w:rsidP="008C4758">
            <w:pPr>
              <w:spacing w:line="240" w:lineRule="auto"/>
              <w:jc w:val="right"/>
              <w:rPr>
                <w:rFonts w:eastAsia="Times New Roman" w:cs="Arial"/>
                <w:color w:val="000000"/>
                <w:szCs w:val="19"/>
              </w:rPr>
            </w:pPr>
            <w:r w:rsidRPr="00962BA0">
              <w:rPr>
                <w:rFonts w:eastAsia="Times New Roman" w:cs="Arial"/>
                <w:color w:val="000000"/>
                <w:szCs w:val="19"/>
              </w:rPr>
              <w:t>299,243</w:t>
            </w:r>
          </w:p>
        </w:tc>
      </w:tr>
      <w:tr w:rsidR="008C4758" w:rsidRPr="00962BA0" w:rsidTr="008C4758">
        <w:trPr>
          <w:trHeight w:val="240"/>
        </w:trPr>
        <w:tc>
          <w:tcPr>
            <w:tcW w:w="3828" w:type="dxa"/>
            <w:tcBorders>
              <w:top w:val="nil"/>
              <w:left w:val="nil"/>
              <w:bottom w:val="nil"/>
              <w:right w:val="nil"/>
            </w:tcBorders>
            <w:shd w:val="clear" w:color="000000" w:fill="auto"/>
            <w:noWrap/>
            <w:vAlign w:val="bottom"/>
            <w:hideMark/>
          </w:tcPr>
          <w:p w:rsidR="008C4758" w:rsidRPr="00962BA0" w:rsidRDefault="008C4758" w:rsidP="008C4758">
            <w:pPr>
              <w:spacing w:line="240" w:lineRule="auto"/>
              <w:jc w:val="left"/>
              <w:rPr>
                <w:rFonts w:eastAsia="Times New Roman" w:cs="Arial"/>
                <w:color w:val="000000"/>
                <w:szCs w:val="19"/>
              </w:rPr>
            </w:pPr>
            <w:r w:rsidRPr="00962BA0">
              <w:rPr>
                <w:rFonts w:eastAsia="Times New Roman" w:cs="Arial"/>
                <w:color w:val="000000"/>
                <w:szCs w:val="19"/>
              </w:rPr>
              <w:t>Group gross profit* / contribution margin</w:t>
            </w:r>
          </w:p>
        </w:tc>
        <w:tc>
          <w:tcPr>
            <w:tcW w:w="1816" w:type="dxa"/>
            <w:tcBorders>
              <w:top w:val="nil"/>
              <w:left w:val="nil"/>
              <w:bottom w:val="nil"/>
              <w:right w:val="nil"/>
            </w:tcBorders>
            <w:shd w:val="clear" w:color="000000" w:fill="auto"/>
            <w:noWrap/>
            <w:vAlign w:val="bottom"/>
          </w:tcPr>
          <w:p w:rsidR="008C4758" w:rsidRPr="00962BA0" w:rsidRDefault="006844D9" w:rsidP="008C4758">
            <w:pPr>
              <w:spacing w:line="240" w:lineRule="auto"/>
              <w:jc w:val="right"/>
              <w:rPr>
                <w:rFonts w:eastAsia="Times New Roman" w:cs="Arial"/>
                <w:color w:val="000000"/>
                <w:szCs w:val="19"/>
              </w:rPr>
            </w:pPr>
            <w:r w:rsidRPr="00962BA0">
              <w:rPr>
                <w:rFonts w:eastAsia="Times New Roman" w:cs="Arial"/>
                <w:color w:val="000000"/>
                <w:szCs w:val="19"/>
              </w:rPr>
              <w:t>77,942</w:t>
            </w:r>
          </w:p>
        </w:tc>
        <w:tc>
          <w:tcPr>
            <w:tcW w:w="1816" w:type="dxa"/>
            <w:tcBorders>
              <w:top w:val="nil"/>
              <w:left w:val="nil"/>
              <w:bottom w:val="nil"/>
              <w:right w:val="nil"/>
            </w:tcBorders>
            <w:shd w:val="clear" w:color="000000" w:fill="auto"/>
            <w:noWrap/>
            <w:vAlign w:val="bottom"/>
          </w:tcPr>
          <w:p w:rsidR="008C4758" w:rsidRPr="00962BA0" w:rsidRDefault="006844D9" w:rsidP="008C4758">
            <w:pPr>
              <w:spacing w:line="240" w:lineRule="auto"/>
              <w:jc w:val="right"/>
              <w:rPr>
                <w:rFonts w:eastAsia="Times New Roman" w:cs="Arial"/>
                <w:color w:val="000000"/>
                <w:szCs w:val="19"/>
              </w:rPr>
            </w:pPr>
            <w:r w:rsidRPr="00962BA0">
              <w:rPr>
                <w:rFonts w:eastAsia="Times New Roman" w:cs="Arial"/>
                <w:color w:val="000000"/>
                <w:szCs w:val="19"/>
              </w:rPr>
              <w:t>60,227</w:t>
            </w:r>
          </w:p>
        </w:tc>
        <w:tc>
          <w:tcPr>
            <w:tcW w:w="1816" w:type="dxa"/>
            <w:tcBorders>
              <w:top w:val="nil"/>
              <w:left w:val="nil"/>
              <w:bottom w:val="nil"/>
              <w:right w:val="nil"/>
            </w:tcBorders>
            <w:shd w:val="clear" w:color="000000" w:fill="auto"/>
            <w:noWrap/>
            <w:vAlign w:val="bottom"/>
          </w:tcPr>
          <w:p w:rsidR="008C4758" w:rsidRPr="00962BA0" w:rsidRDefault="00261633" w:rsidP="008C4758">
            <w:pPr>
              <w:spacing w:line="240" w:lineRule="auto"/>
              <w:jc w:val="right"/>
              <w:rPr>
                <w:rFonts w:eastAsia="Times New Roman" w:cs="Arial"/>
                <w:color w:val="000000"/>
                <w:szCs w:val="19"/>
              </w:rPr>
            </w:pPr>
            <w:r w:rsidRPr="00962BA0">
              <w:rPr>
                <w:rFonts w:eastAsia="Times New Roman" w:cs="Arial"/>
                <w:color w:val="000000"/>
                <w:szCs w:val="19"/>
              </w:rPr>
              <w:t>151,928</w:t>
            </w:r>
          </w:p>
        </w:tc>
      </w:tr>
    </w:tbl>
    <w:p w:rsidR="008C4758" w:rsidRPr="00962BA0" w:rsidRDefault="008C4758" w:rsidP="008C4758">
      <w:pPr>
        <w:pStyle w:val="AufzhlungspunkteCHG-MERIDIAN"/>
        <w:numPr>
          <w:ilvl w:val="0"/>
          <w:numId w:val="0"/>
        </w:numPr>
        <w:ind w:left="360" w:hanging="360"/>
        <w:rPr>
          <w:sz w:val="10"/>
          <w:szCs w:val="10"/>
          <w:lang w:val="en-US"/>
        </w:rPr>
      </w:pPr>
      <w:r w:rsidRPr="00962BA0">
        <w:rPr>
          <w:sz w:val="10"/>
          <w:szCs w:val="10"/>
          <w:lang w:val="en-US"/>
        </w:rPr>
        <w:t>*Gross profit refers to the cash value of all new contracts and after-market sales, less direct acquisition and financing costs.</w:t>
      </w:r>
    </w:p>
    <w:p w:rsidR="008C4758" w:rsidRPr="00962BA0" w:rsidRDefault="008C4758" w:rsidP="008C4758">
      <w:pPr>
        <w:pStyle w:val="AufzhlungspunkteCHG-MERIDIAN"/>
        <w:numPr>
          <w:ilvl w:val="0"/>
          <w:numId w:val="0"/>
        </w:numPr>
        <w:spacing w:line="360" w:lineRule="auto"/>
        <w:jc w:val="both"/>
        <w:rPr>
          <w:sz w:val="14"/>
          <w:szCs w:val="14"/>
          <w:lang w:val="en-US"/>
        </w:rPr>
      </w:pPr>
    </w:p>
    <w:p w:rsidR="008C4758" w:rsidRPr="00962BA0" w:rsidRDefault="008C4758" w:rsidP="00815256">
      <w:pPr>
        <w:pStyle w:val="AufzhlungspunkteCHG-MERIDIAN"/>
        <w:numPr>
          <w:ilvl w:val="0"/>
          <w:numId w:val="0"/>
        </w:numPr>
        <w:jc w:val="both"/>
        <w:rPr>
          <w:b/>
          <w:szCs w:val="19"/>
          <w:lang w:val="en-US"/>
        </w:rPr>
      </w:pPr>
    </w:p>
    <w:p w:rsidR="00127901" w:rsidRPr="00962BA0" w:rsidRDefault="00127901" w:rsidP="00815256">
      <w:pPr>
        <w:pStyle w:val="AufzhlungspunkteCHG-MERIDIAN"/>
        <w:numPr>
          <w:ilvl w:val="0"/>
          <w:numId w:val="0"/>
        </w:numPr>
        <w:jc w:val="both"/>
        <w:rPr>
          <w:b/>
          <w:szCs w:val="19"/>
          <w:lang w:val="en-US"/>
        </w:rPr>
      </w:pPr>
      <w:r w:rsidRPr="00962BA0">
        <w:rPr>
          <w:b/>
          <w:bCs/>
          <w:szCs w:val="19"/>
          <w:lang w:val="en-US"/>
        </w:rPr>
        <w:t xml:space="preserve">For more information and photos, please visit: </w:t>
      </w:r>
      <w:hyperlink r:id="rId9" w:history="1">
        <w:r w:rsidRPr="00962BA0">
          <w:rPr>
            <w:rStyle w:val="Hyperlink"/>
            <w:b/>
            <w:bCs/>
            <w:color w:val="auto"/>
            <w:szCs w:val="19"/>
            <w:u w:val="none"/>
            <w:lang w:val="en-US"/>
          </w:rPr>
          <w:t>www.chg-meridian.com</w:t>
        </w:r>
      </w:hyperlink>
      <w:r w:rsidRPr="00962BA0">
        <w:rPr>
          <w:szCs w:val="19"/>
          <w:lang w:val="en-US"/>
        </w:rPr>
        <w:t xml:space="preserve"> </w:t>
      </w:r>
    </w:p>
    <w:p w:rsidR="007F0B76" w:rsidRPr="00962BA0" w:rsidRDefault="007F0B76" w:rsidP="00F649D6">
      <w:pPr>
        <w:pStyle w:val="AufzhlungspunkteCHG-MERIDIAN"/>
        <w:numPr>
          <w:ilvl w:val="0"/>
          <w:numId w:val="0"/>
        </w:numPr>
        <w:spacing w:line="360" w:lineRule="auto"/>
        <w:jc w:val="both"/>
        <w:rPr>
          <w:szCs w:val="19"/>
          <w:lang w:val="en-US"/>
        </w:rPr>
      </w:pPr>
    </w:p>
    <w:p w:rsidR="000728EF" w:rsidRPr="00962BA0" w:rsidRDefault="000728EF" w:rsidP="00F649D6">
      <w:pPr>
        <w:pStyle w:val="AufzhlungspunkteCHG-MERIDIAN"/>
        <w:numPr>
          <w:ilvl w:val="0"/>
          <w:numId w:val="0"/>
        </w:numPr>
        <w:spacing w:line="360" w:lineRule="auto"/>
        <w:jc w:val="both"/>
        <w:rPr>
          <w:szCs w:val="19"/>
          <w:lang w:val="en-US"/>
        </w:rPr>
      </w:pPr>
      <w:bookmarkStart w:id="0" w:name="_GoBack"/>
      <w:bookmarkEnd w:id="0"/>
    </w:p>
    <w:p w:rsidR="008C4758" w:rsidRPr="00962BA0" w:rsidRDefault="008C4758" w:rsidP="00F649D6">
      <w:pPr>
        <w:pStyle w:val="AufzhlungspunkteCHG-MERIDIAN"/>
        <w:numPr>
          <w:ilvl w:val="0"/>
          <w:numId w:val="0"/>
        </w:numPr>
        <w:spacing w:line="360" w:lineRule="auto"/>
        <w:jc w:val="both"/>
        <w:rPr>
          <w:szCs w:val="19"/>
          <w:lang w:val="en-US"/>
        </w:rPr>
      </w:pPr>
    </w:p>
    <w:p w:rsidR="00243867" w:rsidRPr="00962BA0" w:rsidRDefault="00243867" w:rsidP="00F649D6">
      <w:pPr>
        <w:pStyle w:val="AufzhlungspunkteCHG-MERIDIAN"/>
        <w:numPr>
          <w:ilvl w:val="0"/>
          <w:numId w:val="0"/>
        </w:numPr>
        <w:spacing w:line="360" w:lineRule="auto"/>
        <w:jc w:val="both"/>
        <w:rPr>
          <w:szCs w:val="19"/>
          <w:lang w:val="en-US"/>
        </w:rPr>
      </w:pPr>
    </w:p>
    <w:p w:rsidR="00DC008A" w:rsidRPr="00962BA0" w:rsidRDefault="00DC008A" w:rsidP="00F649D6">
      <w:pPr>
        <w:pStyle w:val="AufzhlungspunkteCHG-MERIDIAN"/>
        <w:numPr>
          <w:ilvl w:val="0"/>
          <w:numId w:val="0"/>
        </w:numPr>
        <w:spacing w:line="360" w:lineRule="auto"/>
        <w:jc w:val="both"/>
        <w:rPr>
          <w:szCs w:val="19"/>
          <w:lang w:val="en-US"/>
        </w:rPr>
      </w:pPr>
    </w:p>
    <w:p w:rsidR="00DC008A" w:rsidRPr="00962BA0" w:rsidRDefault="00DC008A" w:rsidP="00F649D6">
      <w:pPr>
        <w:pStyle w:val="AufzhlungspunkteCHG-MERIDIAN"/>
        <w:numPr>
          <w:ilvl w:val="0"/>
          <w:numId w:val="0"/>
        </w:numPr>
        <w:spacing w:line="360" w:lineRule="auto"/>
        <w:jc w:val="both"/>
        <w:rPr>
          <w:szCs w:val="19"/>
          <w:lang w:val="en-US"/>
        </w:rPr>
      </w:pPr>
    </w:p>
    <w:p w:rsidR="00DC008A" w:rsidRPr="00962BA0" w:rsidRDefault="00DC008A" w:rsidP="00F649D6">
      <w:pPr>
        <w:pStyle w:val="AufzhlungspunkteCHG-MERIDIAN"/>
        <w:numPr>
          <w:ilvl w:val="0"/>
          <w:numId w:val="0"/>
        </w:numPr>
        <w:spacing w:line="360" w:lineRule="auto"/>
        <w:jc w:val="both"/>
        <w:rPr>
          <w:szCs w:val="19"/>
          <w:lang w:val="en-US"/>
        </w:rPr>
      </w:pPr>
    </w:p>
    <w:p w:rsidR="00E3116A" w:rsidRPr="00962BA0" w:rsidRDefault="00E3116A" w:rsidP="00F649D6">
      <w:pPr>
        <w:pStyle w:val="AufzhlungspunkteCHG-MERIDIAN"/>
        <w:numPr>
          <w:ilvl w:val="0"/>
          <w:numId w:val="0"/>
        </w:numPr>
        <w:spacing w:line="360" w:lineRule="auto"/>
        <w:jc w:val="both"/>
        <w:rPr>
          <w:szCs w:val="19"/>
          <w:lang w:val="en-US"/>
        </w:rPr>
      </w:pPr>
    </w:p>
    <w:p w:rsidR="006D4773" w:rsidRPr="00962BA0" w:rsidRDefault="006D4773" w:rsidP="006D4773">
      <w:pPr>
        <w:pStyle w:val="AufzhlungspunkteCHG-MERIDIAN"/>
        <w:numPr>
          <w:ilvl w:val="0"/>
          <w:numId w:val="0"/>
        </w:numPr>
        <w:spacing w:line="240" w:lineRule="auto"/>
        <w:jc w:val="both"/>
        <w:rPr>
          <w:rFonts w:cs="Arial"/>
          <w:b/>
          <w:sz w:val="14"/>
          <w:szCs w:val="14"/>
          <w:lang w:val="en-US"/>
        </w:rPr>
      </w:pPr>
      <w:r w:rsidRPr="00962BA0">
        <w:rPr>
          <w:rFonts w:cs="Arial"/>
          <w:b/>
          <w:bCs/>
          <w:sz w:val="14"/>
          <w:szCs w:val="14"/>
          <w:lang w:val="en-US"/>
        </w:rPr>
        <w:t>CHG-MERIDIAN: The company</w:t>
      </w:r>
    </w:p>
    <w:p w:rsidR="006D4773" w:rsidRPr="00962BA0" w:rsidRDefault="006D4773" w:rsidP="006D4773">
      <w:pPr>
        <w:pStyle w:val="AufzhlungspunkteCHG-MERIDIAN"/>
        <w:numPr>
          <w:ilvl w:val="0"/>
          <w:numId w:val="0"/>
        </w:numPr>
        <w:spacing w:line="240" w:lineRule="auto"/>
        <w:jc w:val="both"/>
        <w:rPr>
          <w:rFonts w:cs="Arial"/>
          <w:sz w:val="14"/>
          <w:szCs w:val="14"/>
          <w:lang w:val="en-US"/>
        </w:rPr>
      </w:pPr>
      <w:r w:rsidRPr="00962BA0">
        <w:rPr>
          <w:rFonts w:cs="Arial"/>
          <w:sz w:val="14"/>
          <w:szCs w:val="14"/>
          <w:lang w:val="en-US"/>
        </w:rPr>
        <w:t>CHG-MERIDIAN is one of the world's leading manufacturer- and bank-independent providers of technology management services to the IT, industry and healthcare sectors. With some 850 employees, CHG-MERIDIAN provides its customers with comprehensive support for their technology infrastructures – from consulting to financial and operational services to used-equipment re-marketing services through its two technology and service centers in Germany and Norway. CHG-MERIDIAN offers efficient technology management for large- and medium-sized companies and government agencies. It now serves over 10,000 customers worldwide, managing technology investments worth a total of more than €4.2 billion. More than 2,700 of its customers also use TESMA© Online, its technology and service management system, for their internal technology controlling needs. The company has offices in 40 locations in 23 countries across the globe; its headquarters are in the South German city of Weingarten.</w:t>
      </w:r>
    </w:p>
    <w:p w:rsidR="006D4773" w:rsidRPr="00962BA0" w:rsidRDefault="006D4773" w:rsidP="006D4773">
      <w:pPr>
        <w:rPr>
          <w:rFonts w:cs="Arial"/>
          <w:sz w:val="14"/>
          <w:szCs w:val="14"/>
        </w:rPr>
      </w:pPr>
      <w:r w:rsidRPr="00962BA0">
        <w:rPr>
          <w:rFonts w:cs="Arial"/>
          <w:sz w:val="14"/>
          <w:szCs w:val="14"/>
        </w:rPr>
        <w:t>Efficient Technology Management</w:t>
      </w:r>
      <w:r w:rsidRPr="00962BA0">
        <w:rPr>
          <w:rFonts w:cs="Arial"/>
          <w:sz w:val="14"/>
          <w:szCs w:val="14"/>
          <w:vertAlign w:val="superscript"/>
        </w:rPr>
        <w:t xml:space="preserve"> ®</w:t>
      </w:r>
      <w:r w:rsidRPr="00962BA0">
        <w:rPr>
          <w:rFonts w:cs="Arial"/>
          <w:sz w:val="14"/>
          <w:szCs w:val="14"/>
        </w:rPr>
        <w:t xml:space="preserve"> </w:t>
      </w:r>
    </w:p>
    <w:p w:rsidR="00965133" w:rsidRPr="00962BA0" w:rsidRDefault="00965133" w:rsidP="006D4773">
      <w:pPr>
        <w:spacing w:line="240" w:lineRule="auto"/>
        <w:rPr>
          <w:sz w:val="14"/>
          <w:szCs w:val="14"/>
        </w:rPr>
      </w:pPr>
    </w:p>
    <w:sectPr w:rsidR="00965133" w:rsidRPr="00962BA0" w:rsidSect="0066580C">
      <w:headerReference w:type="default" r:id="rId10"/>
      <w:footerReference w:type="default" r:id="rId11"/>
      <w:headerReference w:type="first" r:id="rId12"/>
      <w:footerReference w:type="first" r:id="rId13"/>
      <w:pgSz w:w="11906" w:h="16838" w:code="9"/>
      <w:pgMar w:top="1701" w:right="1531" w:bottom="1531" w:left="1304" w:header="624"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7ED" w:rsidRDefault="00BB37ED" w:rsidP="00193879">
      <w:pPr>
        <w:spacing w:line="240" w:lineRule="auto"/>
      </w:pPr>
      <w:r>
        <w:separator/>
      </w:r>
    </w:p>
  </w:endnote>
  <w:endnote w:type="continuationSeparator" w:id="0">
    <w:p w:rsidR="00BB37ED" w:rsidRDefault="00BB37ED" w:rsidP="00193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ED2" w:rsidRDefault="001E5ED2">
    <w:pPr>
      <w:pStyle w:val="Footer"/>
    </w:pPr>
    <w:r>
      <w:rPr>
        <w:noProof/>
        <w:lang w:eastAsia="zh-CN"/>
      </w:rPr>
      <w:drawing>
        <wp:anchor distT="0" distB="0" distL="114300" distR="114300" simplePos="0" relativeHeight="251662336" behindDoc="1" locked="0" layoutInCell="1" allowOverlap="1">
          <wp:simplePos x="0" y="0"/>
          <wp:positionH relativeFrom="column">
            <wp:posOffset>-828040</wp:posOffset>
          </wp:positionH>
          <wp:positionV relativeFrom="paragraph">
            <wp:posOffset>180340</wp:posOffset>
          </wp:positionV>
          <wp:extent cx="7559675" cy="950595"/>
          <wp:effectExtent l="0" t="0" r="0" b="1905"/>
          <wp:wrapTight wrapText="bothSides">
            <wp:wrapPolygon edited="0">
              <wp:start x="3484" y="0"/>
              <wp:lineTo x="0" y="1731"/>
              <wp:lineTo x="0" y="21210"/>
              <wp:lineTo x="17527" y="21210"/>
              <wp:lineTo x="15458" y="14285"/>
              <wp:lineTo x="13717" y="10389"/>
              <wp:lineTo x="12465" y="6493"/>
              <wp:lineTo x="7729" y="1299"/>
              <wp:lineTo x="5987" y="0"/>
              <wp:lineTo x="3484"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95059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ED2" w:rsidRDefault="001E5ED2">
    <w:pPr>
      <w:pStyle w:val="Footer"/>
    </w:pPr>
    <w:r>
      <w:rPr>
        <w:noProof/>
        <w:lang w:eastAsia="zh-CN"/>
      </w:rPr>
      <w:drawing>
        <wp:anchor distT="0" distB="0" distL="114300" distR="114300" simplePos="0" relativeHeight="251660288" behindDoc="1" locked="0" layoutInCell="1" allowOverlap="1">
          <wp:simplePos x="0" y="0"/>
          <wp:positionH relativeFrom="column">
            <wp:posOffset>-828040</wp:posOffset>
          </wp:positionH>
          <wp:positionV relativeFrom="paragraph">
            <wp:posOffset>177800</wp:posOffset>
          </wp:positionV>
          <wp:extent cx="7559675" cy="950595"/>
          <wp:effectExtent l="0" t="0" r="0" b="1905"/>
          <wp:wrapTight wrapText="bothSides">
            <wp:wrapPolygon edited="0">
              <wp:start x="3484" y="0"/>
              <wp:lineTo x="0" y="1731"/>
              <wp:lineTo x="0" y="21210"/>
              <wp:lineTo x="17527" y="21210"/>
              <wp:lineTo x="15458" y="14285"/>
              <wp:lineTo x="13717" y="10389"/>
              <wp:lineTo x="12465" y="6493"/>
              <wp:lineTo x="7729" y="1299"/>
              <wp:lineTo x="5987" y="0"/>
              <wp:lineTo x="3484"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95059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7ED" w:rsidRDefault="00BB37ED" w:rsidP="00193879">
      <w:pPr>
        <w:spacing w:line="240" w:lineRule="auto"/>
      </w:pPr>
      <w:r>
        <w:separator/>
      </w:r>
    </w:p>
  </w:footnote>
  <w:footnote w:type="continuationSeparator" w:id="0">
    <w:p w:rsidR="00BB37ED" w:rsidRDefault="00BB37ED" w:rsidP="001938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ED2" w:rsidRPr="003F430F" w:rsidRDefault="001E5ED2" w:rsidP="0066580C">
    <w:pPr>
      <w:framePr w:w="7859" w:h="227" w:hRule="exact" w:wrap="around" w:vAnchor="page" w:hAnchor="page" w:x="1305" w:y="1305" w:anchorLock="1"/>
      <w:spacing w:line="180" w:lineRule="exact"/>
      <w:rPr>
        <w:rFonts w:cs="Arial"/>
        <w:noProof/>
        <w:color w:val="6F6F6F"/>
        <w:sz w:val="14"/>
        <w:szCs w:val="14"/>
      </w:rPr>
    </w:pPr>
    <w:r>
      <w:rPr>
        <w:rFonts w:cs="Arial"/>
        <w:color w:val="6F6F6F"/>
        <w:sz w:val="14"/>
        <w:szCs w:val="14"/>
      </w:rPr>
      <w:t xml:space="preserve">Page </w:t>
    </w:r>
    <w:r>
      <w:rPr>
        <w:rFonts w:cs="Arial"/>
        <w:color w:val="6F6F6F"/>
        <w:sz w:val="14"/>
        <w:szCs w:val="14"/>
      </w:rPr>
      <w:fldChar w:fldCharType="begin"/>
    </w:r>
    <w:r>
      <w:rPr>
        <w:rFonts w:cs="Arial"/>
        <w:color w:val="6F6F6F"/>
        <w:sz w:val="14"/>
        <w:szCs w:val="14"/>
      </w:rPr>
      <w:instrText xml:space="preserve"> PAGE </w:instrText>
    </w:r>
    <w:r>
      <w:rPr>
        <w:rFonts w:cs="Arial"/>
        <w:color w:val="6F6F6F"/>
        <w:sz w:val="14"/>
        <w:szCs w:val="14"/>
      </w:rPr>
      <w:fldChar w:fldCharType="separate"/>
    </w:r>
    <w:r w:rsidR="00962BA0">
      <w:rPr>
        <w:rFonts w:cs="Arial"/>
        <w:noProof/>
        <w:color w:val="6F6F6F"/>
        <w:sz w:val="14"/>
        <w:szCs w:val="14"/>
      </w:rPr>
      <w:t>2</w:t>
    </w:r>
    <w:r>
      <w:rPr>
        <w:rFonts w:cs="Arial"/>
        <w:color w:val="6F6F6F"/>
        <w:sz w:val="14"/>
        <w:szCs w:val="14"/>
      </w:rPr>
      <w:fldChar w:fldCharType="end"/>
    </w:r>
    <w:r>
      <w:rPr>
        <w:rFonts w:cs="Arial"/>
        <w:color w:val="6F6F6F"/>
        <w:sz w:val="14"/>
        <w:szCs w:val="14"/>
      </w:rPr>
      <w:t xml:space="preserve"> of </w:t>
    </w:r>
    <w:r>
      <w:rPr>
        <w:rFonts w:cs="Arial"/>
        <w:color w:val="6F6F6F"/>
        <w:sz w:val="14"/>
        <w:szCs w:val="14"/>
      </w:rPr>
      <w:fldChar w:fldCharType="begin"/>
    </w:r>
    <w:r>
      <w:rPr>
        <w:rFonts w:cs="Arial"/>
        <w:color w:val="6F6F6F"/>
        <w:sz w:val="14"/>
        <w:szCs w:val="14"/>
      </w:rPr>
      <w:instrText xml:space="preserve"> NUMPAGES </w:instrText>
    </w:r>
    <w:r>
      <w:rPr>
        <w:rFonts w:cs="Arial"/>
        <w:color w:val="6F6F6F"/>
        <w:sz w:val="14"/>
        <w:szCs w:val="14"/>
      </w:rPr>
      <w:fldChar w:fldCharType="separate"/>
    </w:r>
    <w:r w:rsidR="00962BA0">
      <w:rPr>
        <w:rFonts w:cs="Arial"/>
        <w:noProof/>
        <w:color w:val="6F6F6F"/>
        <w:sz w:val="14"/>
        <w:szCs w:val="14"/>
      </w:rPr>
      <w:t>2</w:t>
    </w:r>
    <w:r>
      <w:rPr>
        <w:rFonts w:cs="Arial"/>
        <w:color w:val="6F6F6F"/>
        <w:sz w:val="14"/>
        <w:szCs w:val="14"/>
      </w:rPr>
      <w:fldChar w:fldCharType="end"/>
    </w:r>
    <w:r>
      <w:rPr>
        <w:rFonts w:cs="Arial"/>
        <w:color w:val="6F6F6F"/>
        <w:sz w:val="14"/>
        <w:szCs w:val="14"/>
      </w:rPr>
      <w:t xml:space="preserve"> </w:t>
    </w:r>
  </w:p>
  <w:p w:rsidR="001E5ED2" w:rsidRPr="003F430F" w:rsidRDefault="001E5ED2" w:rsidP="0066580C">
    <w:pPr>
      <w:framePr w:w="7859" w:h="227" w:hRule="exact" w:wrap="around" w:vAnchor="page" w:hAnchor="page" w:x="1305" w:y="1305" w:anchorLock="1"/>
      <w:rPr>
        <w:noProof/>
      </w:rPr>
    </w:pPr>
  </w:p>
  <w:p w:rsidR="001E5ED2" w:rsidRPr="003F430F" w:rsidRDefault="001E5ED2" w:rsidP="0066580C">
    <w:pPr>
      <w:framePr w:w="7859" w:h="227" w:hRule="exact" w:wrap="around" w:vAnchor="page" w:hAnchor="page" w:x="1305" w:y="1305" w:anchorLock="1"/>
      <w:rPr>
        <w:noProof/>
      </w:rPr>
    </w:pPr>
  </w:p>
  <w:p w:rsidR="001E5ED2" w:rsidRPr="003F430F" w:rsidRDefault="001E5ED2" w:rsidP="0066580C">
    <w:pPr>
      <w:framePr w:w="7859" w:h="227" w:hRule="exact" w:wrap="around" w:vAnchor="page" w:hAnchor="page" w:x="1305" w:y="1305" w:anchorLock="1"/>
    </w:pPr>
  </w:p>
  <w:p w:rsidR="001E5ED2" w:rsidRPr="003F430F" w:rsidRDefault="001E5ED2" w:rsidP="0066580C">
    <w:pPr>
      <w:framePr w:w="7859" w:h="227" w:hRule="exact" w:wrap="around" w:vAnchor="page" w:hAnchor="page" w:x="1305" w:y="1305" w:anchorLock="1"/>
      <w:rPr>
        <w:noProof/>
      </w:rPr>
    </w:pPr>
    <w:fldSimple w:instr=" MERGEFIELD EFax \* MERGEFORMAT ">
      <w:r>
        <w:rPr>
          <w:noProof/>
        </w:rPr>
        <w:t>«EFax»</w:t>
      </w:r>
    </w:fldSimple>
  </w:p>
  <w:p w:rsidR="001E5ED2" w:rsidRPr="003F430F" w:rsidRDefault="001E5ED2" w:rsidP="0066580C">
    <w:pPr>
      <w:framePr w:w="7859" w:h="227" w:hRule="exact" w:wrap="around" w:vAnchor="page" w:hAnchor="page" w:x="1305" w:y="1305" w:anchorLock="1"/>
      <w:rPr>
        <w:noProof/>
      </w:rPr>
    </w:pPr>
  </w:p>
  <w:p w:rsidR="001E5ED2" w:rsidRPr="003F430F" w:rsidRDefault="001E5ED2" w:rsidP="0066580C">
    <w:pPr>
      <w:framePr w:w="7859" w:h="227" w:hRule="exact" w:wrap="around" w:vAnchor="page" w:hAnchor="page" w:x="1305" w:y="1305" w:anchorLock="1"/>
      <w:spacing w:line="180" w:lineRule="exact"/>
      <w:rPr>
        <w:rFonts w:cs="Arial"/>
        <w:color w:val="969696"/>
        <w:sz w:val="14"/>
        <w:szCs w:val="14"/>
      </w:rPr>
    </w:pPr>
  </w:p>
  <w:p w:rsidR="001E5ED2" w:rsidRPr="006A7DBA" w:rsidRDefault="001E5ED2" w:rsidP="0066580C">
    <w:pPr>
      <w:framePr w:w="7859" w:h="227" w:hRule="exact" w:wrap="around" w:vAnchor="page" w:hAnchor="page" w:x="1305" w:y="1305" w:anchorLock="1"/>
      <w:spacing w:line="180" w:lineRule="exact"/>
      <w:rPr>
        <w:b/>
        <w:i/>
        <w:noProof/>
        <w:color w:val="969696"/>
        <w:sz w:val="14"/>
        <w:szCs w:val="14"/>
      </w:rPr>
    </w:pPr>
    <w:r>
      <w:rPr>
        <w:rFonts w:cs="Arial"/>
        <w:b/>
        <w:bCs/>
        <w:i/>
        <w:iCs/>
        <w:color w:val="969696"/>
        <w:sz w:val="14"/>
        <w:szCs w:val="14"/>
      </w:rPr>
      <w:t>Subject: Microsoft Software</w:t>
    </w:r>
  </w:p>
  <w:p w:rsidR="001E5ED2" w:rsidRDefault="001E5ED2" w:rsidP="00AE708B">
    <w:pPr>
      <w:pStyle w:val="Header"/>
    </w:pPr>
    <w:r>
      <w:rPr>
        <w:noProof/>
        <w:lang w:eastAsia="zh-CN"/>
      </w:rPr>
      <w:drawing>
        <wp:anchor distT="0" distB="0" distL="114300" distR="114300" simplePos="0" relativeHeight="251657216" behindDoc="1" locked="0" layoutInCell="1" allowOverlap="1">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6" name="Bild 16"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anchor>
      </w:drawing>
    </w:r>
  </w:p>
  <w:p w:rsidR="001E5ED2" w:rsidRPr="00DA141B" w:rsidRDefault="001E5ED2" w:rsidP="00AE70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2517"/>
    </w:tblGrid>
    <w:tr w:rsidR="001E5ED2" w:rsidRPr="00C121C4" w:rsidTr="007C30C3">
      <w:tc>
        <w:tcPr>
          <w:tcW w:w="2657" w:type="dxa"/>
          <w:hideMark/>
        </w:tcPr>
        <w:p w:rsidR="001E5ED2" w:rsidRDefault="001E5ED2" w:rsidP="00F649D6">
          <w:pPr>
            <w:framePr w:w="2517" w:h="8505" w:hSpace="482" w:wrap="around" w:vAnchor="page" w:hAnchor="page" w:x="9385" w:y="6539" w:anchorLock="1"/>
            <w:tabs>
              <w:tab w:val="left" w:pos="709"/>
              <w:tab w:val="right" w:pos="2835"/>
            </w:tabs>
            <w:spacing w:line="200" w:lineRule="atLeast"/>
            <w:jc w:val="left"/>
            <w:rPr>
              <w:b/>
              <w:color w:val="6F6F6E"/>
              <w:sz w:val="14"/>
            </w:rPr>
          </w:pPr>
          <w:r>
            <w:rPr>
              <w:b/>
              <w:bCs/>
              <w:color w:val="6F6F6E"/>
              <w:sz w:val="14"/>
            </w:rPr>
            <w:t>Date: 22.07.2015</w:t>
          </w:r>
        </w:p>
        <w:p w:rsidR="001E5ED2" w:rsidRPr="00F649D6" w:rsidRDefault="001E5ED2" w:rsidP="00F649D6">
          <w:pPr>
            <w:framePr w:w="2517" w:h="8505" w:hSpace="482" w:wrap="around" w:vAnchor="page" w:hAnchor="page" w:x="9385" w:y="6539" w:anchorLock="1"/>
            <w:tabs>
              <w:tab w:val="left" w:pos="709"/>
              <w:tab w:val="right" w:pos="2835"/>
            </w:tabs>
            <w:spacing w:line="200" w:lineRule="atLeast"/>
            <w:jc w:val="left"/>
            <w:rPr>
              <w:color w:val="6F6F6E"/>
              <w:sz w:val="14"/>
            </w:rPr>
          </w:pPr>
        </w:p>
        <w:p w:rsidR="001E5ED2" w:rsidRPr="00F649D6" w:rsidRDefault="001E5ED2"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Your contact:</w:t>
          </w:r>
        </w:p>
        <w:p w:rsidR="001E5ED2" w:rsidRPr="00F649D6" w:rsidRDefault="001E5ED2"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Matthias Steybe </w:t>
          </w:r>
        </w:p>
        <w:p w:rsidR="001E5ED2" w:rsidRPr="00F649D6" w:rsidRDefault="001E5ED2"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Head of Communications </w:t>
          </w:r>
        </w:p>
        <w:p w:rsidR="001E5ED2" w:rsidRPr="0065673F" w:rsidRDefault="001E5ED2"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and Marketing</w:t>
          </w:r>
        </w:p>
        <w:p w:rsidR="001E5ED2" w:rsidRPr="0065673F" w:rsidRDefault="001E5ED2" w:rsidP="00F649D6">
          <w:pPr>
            <w:framePr w:w="2517" w:h="8505" w:hSpace="482" w:wrap="around" w:vAnchor="page" w:hAnchor="page" w:x="9385" w:y="6539" w:anchorLock="1"/>
            <w:tabs>
              <w:tab w:val="left" w:pos="709"/>
              <w:tab w:val="right" w:pos="2835"/>
            </w:tabs>
            <w:spacing w:line="200" w:lineRule="atLeast"/>
            <w:jc w:val="left"/>
            <w:rPr>
              <w:color w:val="6F6F6E"/>
              <w:sz w:val="14"/>
            </w:rPr>
          </w:pPr>
        </w:p>
        <w:p w:rsidR="001E5ED2" w:rsidRPr="0065673F" w:rsidRDefault="001E5ED2"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Franz-Beer-Straße 111</w:t>
          </w:r>
        </w:p>
        <w:p w:rsidR="001E5ED2" w:rsidRPr="0065673F" w:rsidRDefault="001E5ED2"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D-88250 Weingarten</w:t>
          </w:r>
        </w:p>
        <w:p w:rsidR="001E5ED2" w:rsidRPr="0065673F" w:rsidRDefault="001E5ED2" w:rsidP="00F649D6">
          <w:pPr>
            <w:framePr w:w="2517" w:h="8505" w:hSpace="482" w:wrap="around" w:vAnchor="page" w:hAnchor="page" w:x="9385" w:y="6539" w:anchorLock="1"/>
            <w:tabs>
              <w:tab w:val="left" w:pos="709"/>
              <w:tab w:val="right" w:pos="2835"/>
            </w:tabs>
            <w:spacing w:line="200" w:lineRule="atLeast"/>
            <w:jc w:val="left"/>
            <w:rPr>
              <w:color w:val="6F6F6E"/>
              <w:sz w:val="14"/>
            </w:rPr>
          </w:pPr>
        </w:p>
        <w:p w:rsidR="001E5ED2" w:rsidRPr="0065673F" w:rsidRDefault="001E5ED2"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Tel. +49 751 503-248</w:t>
          </w:r>
        </w:p>
        <w:p w:rsidR="001E5ED2" w:rsidRPr="0065673F" w:rsidRDefault="001E5ED2"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Fax. +49 751 503-7248</w:t>
          </w:r>
        </w:p>
        <w:p w:rsidR="001E5ED2" w:rsidRPr="0065673F" w:rsidRDefault="001E5ED2"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Mobile +49 172 667-1341 </w:t>
          </w:r>
        </w:p>
        <w:p w:rsidR="001E5ED2" w:rsidRPr="00965133" w:rsidRDefault="00BB37ED" w:rsidP="00F649D6">
          <w:pPr>
            <w:framePr w:w="2517" w:h="8505" w:hSpace="482" w:wrap="around" w:vAnchor="page" w:hAnchor="page" w:x="9385" w:y="6539" w:anchorLock="1"/>
            <w:tabs>
              <w:tab w:val="left" w:pos="709"/>
              <w:tab w:val="right" w:pos="2835"/>
            </w:tabs>
            <w:spacing w:line="200" w:lineRule="atLeast"/>
            <w:jc w:val="left"/>
            <w:rPr>
              <w:color w:val="6F6F6E"/>
              <w:sz w:val="14"/>
              <w:szCs w:val="14"/>
            </w:rPr>
          </w:pPr>
          <w:hyperlink r:id="rId1" w:history="1">
            <w:r w:rsidR="00B247AE">
              <w:rPr>
                <w:color w:val="6F6F6E"/>
                <w:sz w:val="14"/>
                <w:szCs w:val="14"/>
              </w:rPr>
              <w:t>matthias.steybe@chg-</w:t>
            </w:r>
          </w:hyperlink>
        </w:p>
        <w:p w:rsidR="001E5ED2" w:rsidRPr="00965133" w:rsidRDefault="001E5ED2" w:rsidP="00F649D6">
          <w:pPr>
            <w:framePr w:w="2517" w:h="8505" w:hSpace="482" w:wrap="around" w:vAnchor="page" w:hAnchor="page" w:x="9385" w:y="6539" w:anchorLock="1"/>
            <w:tabs>
              <w:tab w:val="left" w:pos="709"/>
              <w:tab w:val="right" w:pos="2835"/>
            </w:tabs>
            <w:spacing w:line="200" w:lineRule="atLeast"/>
            <w:jc w:val="left"/>
            <w:rPr>
              <w:color w:val="6F6F6E"/>
              <w:sz w:val="14"/>
              <w:szCs w:val="14"/>
            </w:rPr>
          </w:pPr>
          <w:r>
            <w:rPr>
              <w:color w:val="6F6F6E"/>
              <w:sz w:val="14"/>
              <w:szCs w:val="14"/>
            </w:rPr>
            <w:t>meridian.de</w:t>
          </w:r>
        </w:p>
        <w:p w:rsidR="001E5ED2" w:rsidRPr="00965133" w:rsidRDefault="001E5ED2" w:rsidP="00F649D6">
          <w:pPr>
            <w:framePr w:w="2517" w:h="8505" w:hSpace="482" w:wrap="around" w:vAnchor="page" w:hAnchor="page" w:x="9385" w:y="6539" w:anchorLock="1"/>
            <w:tabs>
              <w:tab w:val="left" w:pos="709"/>
              <w:tab w:val="right" w:pos="2835"/>
            </w:tabs>
            <w:spacing w:line="200" w:lineRule="atLeast"/>
            <w:jc w:val="left"/>
            <w:rPr>
              <w:color w:val="6F6F6E"/>
              <w:sz w:val="14"/>
              <w:szCs w:val="14"/>
            </w:rPr>
          </w:pPr>
        </w:p>
        <w:p w:rsidR="001E5ED2" w:rsidRPr="00965133" w:rsidRDefault="001E5ED2"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www.chg-meridian.com</w:t>
          </w:r>
        </w:p>
        <w:p w:rsidR="001E5ED2" w:rsidRPr="00965133" w:rsidRDefault="001E5ED2" w:rsidP="008746ED">
          <w:pPr>
            <w:framePr w:w="2517" w:h="8505" w:hSpace="482" w:wrap="around" w:vAnchor="page" w:hAnchor="page" w:x="9385" w:y="6539" w:anchorLock="1"/>
            <w:spacing w:line="210" w:lineRule="exact"/>
            <w:rPr>
              <w:sz w:val="14"/>
              <w:szCs w:val="14"/>
            </w:rPr>
          </w:pPr>
        </w:p>
      </w:tc>
    </w:tr>
  </w:tbl>
  <w:p w:rsidR="001E5ED2" w:rsidRPr="00965133" w:rsidRDefault="001E5ED2" w:rsidP="008746ED">
    <w:pPr>
      <w:framePr w:w="2517" w:h="8505" w:hSpace="482" w:wrap="around" w:vAnchor="page" w:hAnchor="page" w:x="9385" w:y="6539" w:anchorLock="1"/>
      <w:spacing w:line="210" w:lineRule="exact"/>
      <w:rPr>
        <w:sz w:val="14"/>
        <w:szCs w:val="14"/>
      </w:rPr>
    </w:pPr>
  </w:p>
  <w:p w:rsidR="001E5ED2" w:rsidRPr="00965133" w:rsidRDefault="001E5ED2" w:rsidP="008746ED">
    <w:pPr>
      <w:framePr w:w="2517" w:h="8505" w:hSpace="482" w:wrap="around" w:vAnchor="page" w:hAnchor="page" w:x="9385" w:y="6539" w:anchorLock="1"/>
      <w:spacing w:line="210" w:lineRule="exact"/>
      <w:rPr>
        <w:sz w:val="14"/>
        <w:szCs w:val="14"/>
      </w:rPr>
    </w:pPr>
  </w:p>
  <w:p w:rsidR="001E5ED2" w:rsidRPr="00965133" w:rsidRDefault="001E5ED2" w:rsidP="008746ED">
    <w:pPr>
      <w:framePr w:w="2517" w:h="8505" w:hSpace="482" w:wrap="around" w:vAnchor="page" w:hAnchor="page" w:x="9385" w:y="6539" w:anchorLock="1"/>
      <w:spacing w:line="210" w:lineRule="exact"/>
      <w:rPr>
        <w:sz w:val="14"/>
        <w:szCs w:val="14"/>
      </w:rPr>
    </w:pPr>
  </w:p>
  <w:p w:rsidR="001E5ED2" w:rsidRPr="00277562" w:rsidRDefault="001E5ED2" w:rsidP="00154F03">
    <w:pPr>
      <w:pStyle w:val="Heading2"/>
    </w:pPr>
    <w:r>
      <w:rPr>
        <w:b w:val="0"/>
        <w:bCs w:val="0"/>
        <w:iCs w:val="0"/>
      </w:rPr>
      <w:t>PRESS RELEASE</w:t>
    </w:r>
    <w:r>
      <w:rPr>
        <w:b w:val="0"/>
        <w:bCs w:val="0"/>
        <w:iCs w:val="0"/>
        <w:noProof/>
        <w:lang w:eastAsia="zh-CN"/>
      </w:rPr>
      <w:drawing>
        <wp:anchor distT="0" distB="0" distL="114300" distR="114300" simplePos="0" relativeHeight="251656192" behindDoc="1" locked="0" layoutInCell="1" allowOverlap="1">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4" name="Bild 14"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G_Logo_rgb_300dpi_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2554"/>
    <w:multiLevelType w:val="multilevel"/>
    <w:tmpl w:val="F146BA34"/>
    <w:lvl w:ilvl="0">
      <w:start w:val="1"/>
      <w:numFmt w:val="decimal"/>
      <w:pStyle w:val="Ebene1CHG-berschrift"/>
      <w:suff w:val="space"/>
      <w:lvlText w:val="%1"/>
      <w:lvlJc w:val="left"/>
      <w:pPr>
        <w:ind w:left="360" w:hanging="360"/>
      </w:pPr>
      <w:rPr>
        <w:rFonts w:hint="default"/>
        <w:b/>
        <w:i w:val="0"/>
        <w:color w:val="7A716F"/>
        <w:spacing w:val="0"/>
        <w:sz w:val="22"/>
        <w:szCs w:val="22"/>
        <w:u w:color="ACA53D"/>
      </w:rPr>
    </w:lvl>
    <w:lvl w:ilvl="1">
      <w:start w:val="1"/>
      <w:numFmt w:val="decimal"/>
      <w:pStyle w:val="Ebene2CHG-berschrift"/>
      <w:suff w:val="space"/>
      <w:lvlText w:val="%1.%2"/>
      <w:lvlJc w:val="left"/>
      <w:pPr>
        <w:ind w:left="792" w:hanging="432"/>
      </w:pPr>
      <w:rPr>
        <w:rFonts w:hint="default"/>
        <w:b/>
        <w:i w:val="0"/>
        <w:color w:val="7A716F"/>
        <w:sz w:val="19"/>
        <w:u w:color="6F6F6E"/>
      </w:rPr>
    </w:lvl>
    <w:lvl w:ilvl="2">
      <w:start w:val="1"/>
      <w:numFmt w:val="decimal"/>
      <w:pStyle w:val="Ebene3CHG-berschrift"/>
      <w:suff w:val="space"/>
      <w:lvlText w:val="%1.%2.%3"/>
      <w:lvlJc w:val="left"/>
      <w:pPr>
        <w:ind w:left="1224" w:hanging="867"/>
      </w:pPr>
      <w:rPr>
        <w:rFonts w:hint="default"/>
        <w:b/>
        <w:i w:val="0"/>
        <w:color w:val="7A716F"/>
        <w:sz w:val="19"/>
        <w:u w:color="6F6F6E"/>
      </w:rPr>
    </w:lvl>
    <w:lvl w:ilvl="3">
      <w:start w:val="1"/>
      <w:numFmt w:val="decimal"/>
      <w:pStyle w:val="Ebene4CHG-berschrift"/>
      <w:suff w:val="space"/>
      <w:lvlText w:val="%1.%2.%3.%4"/>
      <w:lvlJc w:val="left"/>
      <w:pPr>
        <w:ind w:left="1728" w:hanging="1371"/>
      </w:pPr>
      <w:rPr>
        <w:rFonts w:hint="default"/>
        <w:b/>
        <w:i w:val="0"/>
        <w:color w:val="7A716F"/>
        <w:sz w:val="19"/>
        <w:u w:color="6F6F6E"/>
      </w:rPr>
    </w:lvl>
    <w:lvl w:ilvl="4">
      <w:start w:val="1"/>
      <w:numFmt w:val="decimal"/>
      <w:pStyle w:val="Ebene5CHG-berschrift"/>
      <w:suff w:val="space"/>
      <w:lvlText w:val="%1.%2.%3.%4.%5"/>
      <w:lvlJc w:val="left"/>
      <w:pPr>
        <w:ind w:left="2232" w:hanging="1875"/>
      </w:pPr>
      <w:rPr>
        <w:rFonts w:hint="default"/>
        <w:b/>
        <w:i w:val="0"/>
        <w:color w:val="7A716F"/>
        <w:sz w:val="19"/>
        <w:u w:color="6F6F6E"/>
      </w:rPr>
    </w:lvl>
    <w:lvl w:ilvl="5">
      <w:start w:val="1"/>
      <w:numFmt w:val="decimal"/>
      <w:pStyle w:val="Ebene6CHG-berschrift"/>
      <w:suff w:val="space"/>
      <w:lvlText w:val="%1.%2.%3.%4.%5.%6"/>
      <w:lvlJc w:val="left"/>
      <w:pPr>
        <w:ind w:left="2736" w:hanging="2379"/>
      </w:pPr>
      <w:rPr>
        <w:rFonts w:hint="default"/>
        <w:b/>
        <w:i w:val="0"/>
        <w:color w:val="7A716F"/>
        <w:sz w:val="19"/>
        <w:u w:color="6F6F6E"/>
      </w:rPr>
    </w:lvl>
    <w:lvl w:ilvl="6">
      <w:start w:val="1"/>
      <w:numFmt w:val="decimal"/>
      <w:suff w:val="space"/>
      <w:lvlText w:val="%1.%2.%3.%4.%5.%6.%7"/>
      <w:lvlJc w:val="left"/>
      <w:pPr>
        <w:ind w:left="3240" w:hanging="2883"/>
      </w:pPr>
      <w:rPr>
        <w:rFonts w:hint="default"/>
        <w:b/>
        <w:i w:val="0"/>
        <w:color w:val="7A716F"/>
        <w:sz w:val="19"/>
        <w:u w:color="6F6F6E"/>
      </w:rPr>
    </w:lvl>
    <w:lvl w:ilvl="7">
      <w:start w:val="1"/>
      <w:numFmt w:val="decimal"/>
      <w:suff w:val="space"/>
      <w:lvlText w:val="%1.%2.%3.%4.%5.%6.%7.%8"/>
      <w:lvlJc w:val="left"/>
      <w:pPr>
        <w:ind w:left="3744" w:hanging="3387"/>
      </w:pPr>
      <w:rPr>
        <w:rFonts w:hint="default"/>
        <w:b/>
        <w:i w:val="0"/>
        <w:color w:val="7A716F"/>
        <w:sz w:val="19"/>
        <w:u w:color="6F6F6E"/>
      </w:rPr>
    </w:lvl>
    <w:lvl w:ilvl="8">
      <w:start w:val="1"/>
      <w:numFmt w:val="decimal"/>
      <w:suff w:val="space"/>
      <w:lvlText w:val="%1.%2.%3.%4.%5.%6.%7.%8.%9"/>
      <w:lvlJc w:val="left"/>
      <w:pPr>
        <w:ind w:left="4320" w:hanging="3963"/>
      </w:pPr>
      <w:rPr>
        <w:rFonts w:hint="default"/>
        <w:b/>
        <w:i w:val="0"/>
        <w:color w:val="7A716F"/>
        <w:sz w:val="19"/>
        <w:u w:color="6F6F6E"/>
      </w:rPr>
    </w:lvl>
  </w:abstractNum>
  <w:abstractNum w:abstractNumId="1">
    <w:nsid w:val="0C4560A2"/>
    <w:multiLevelType w:val="hybridMultilevel"/>
    <w:tmpl w:val="F40E6F74"/>
    <w:lvl w:ilvl="0" w:tplc="B4941F10">
      <w:start w:val="1"/>
      <w:numFmt w:val="bullet"/>
      <w:pStyle w:val="AufzhlungspunkteCHG-MERIDIAN"/>
      <w:lvlText w:val=""/>
      <w:lvlJc w:val="left"/>
      <w:pPr>
        <w:ind w:left="218" w:hanging="360"/>
      </w:pPr>
      <w:rPr>
        <w:rFonts w:ascii="Symbol" w:hAnsi="Symbol" w:hint="default"/>
        <w:b w:val="0"/>
        <w:i w:val="0"/>
        <w:color w:val="7A716F"/>
        <w:sz w:val="19"/>
        <w:u w:color="D5221E"/>
      </w:rPr>
    </w:lvl>
    <w:lvl w:ilvl="1" w:tplc="04070003" w:tentative="1">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2">
    <w:nsid w:val="7CF6499E"/>
    <w:multiLevelType w:val="hybridMultilevel"/>
    <w:tmpl w:val="3EFEF662"/>
    <w:lvl w:ilvl="0" w:tplc="04070001">
      <w:start w:val="1"/>
      <w:numFmt w:val="bullet"/>
      <w:lvlText w:val=""/>
      <w:lvlJc w:val="left"/>
      <w:pPr>
        <w:ind w:left="644" w:hanging="360"/>
      </w:pPr>
      <w:rPr>
        <w:rFonts w:ascii="Symbol" w:hAnsi="Symbol" w:hint="default"/>
        <w:b w:val="0"/>
        <w:i w:val="0"/>
        <w:color w:val="ACA53D"/>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BD"/>
    <w:rsid w:val="00005023"/>
    <w:rsid w:val="00016FCB"/>
    <w:rsid w:val="000170FA"/>
    <w:rsid w:val="00025FED"/>
    <w:rsid w:val="00045FB2"/>
    <w:rsid w:val="00056021"/>
    <w:rsid w:val="00060E4A"/>
    <w:rsid w:val="000728EF"/>
    <w:rsid w:val="000745C5"/>
    <w:rsid w:val="000957F1"/>
    <w:rsid w:val="000A220D"/>
    <w:rsid w:val="000E3B33"/>
    <w:rsid w:val="000F2216"/>
    <w:rsid w:val="00101A4A"/>
    <w:rsid w:val="00106D2E"/>
    <w:rsid w:val="00107A97"/>
    <w:rsid w:val="00107EA9"/>
    <w:rsid w:val="00127901"/>
    <w:rsid w:val="00152C8F"/>
    <w:rsid w:val="00154F03"/>
    <w:rsid w:val="00184C0C"/>
    <w:rsid w:val="001904F1"/>
    <w:rsid w:val="00193879"/>
    <w:rsid w:val="001A5394"/>
    <w:rsid w:val="001A5BAE"/>
    <w:rsid w:val="001C10A8"/>
    <w:rsid w:val="001C1C71"/>
    <w:rsid w:val="001E5ED2"/>
    <w:rsid w:val="00201E88"/>
    <w:rsid w:val="002312C1"/>
    <w:rsid w:val="00236422"/>
    <w:rsid w:val="00243867"/>
    <w:rsid w:val="00250D99"/>
    <w:rsid w:val="00261633"/>
    <w:rsid w:val="00277562"/>
    <w:rsid w:val="0028278C"/>
    <w:rsid w:val="0029061C"/>
    <w:rsid w:val="00304483"/>
    <w:rsid w:val="00306A86"/>
    <w:rsid w:val="003206AE"/>
    <w:rsid w:val="00327440"/>
    <w:rsid w:val="00337318"/>
    <w:rsid w:val="00364AF8"/>
    <w:rsid w:val="00387D7C"/>
    <w:rsid w:val="003B0F32"/>
    <w:rsid w:val="003B3BAE"/>
    <w:rsid w:val="003B6F92"/>
    <w:rsid w:val="003C7406"/>
    <w:rsid w:val="003D00C6"/>
    <w:rsid w:val="003F164A"/>
    <w:rsid w:val="003F430F"/>
    <w:rsid w:val="00403AB2"/>
    <w:rsid w:val="00424515"/>
    <w:rsid w:val="00426275"/>
    <w:rsid w:val="00430285"/>
    <w:rsid w:val="00443733"/>
    <w:rsid w:val="00451A60"/>
    <w:rsid w:val="004A393E"/>
    <w:rsid w:val="004B298C"/>
    <w:rsid w:val="004D5BC0"/>
    <w:rsid w:val="004E10ED"/>
    <w:rsid w:val="004F37EC"/>
    <w:rsid w:val="004F7A21"/>
    <w:rsid w:val="00514DFD"/>
    <w:rsid w:val="005160EE"/>
    <w:rsid w:val="00550817"/>
    <w:rsid w:val="00552388"/>
    <w:rsid w:val="00567BFC"/>
    <w:rsid w:val="00567D3C"/>
    <w:rsid w:val="0057093D"/>
    <w:rsid w:val="00574E4E"/>
    <w:rsid w:val="00595777"/>
    <w:rsid w:val="005B0326"/>
    <w:rsid w:val="005B3422"/>
    <w:rsid w:val="005D0D43"/>
    <w:rsid w:val="005E21FA"/>
    <w:rsid w:val="005E2F57"/>
    <w:rsid w:val="005E6F43"/>
    <w:rsid w:val="005F48F5"/>
    <w:rsid w:val="0060264D"/>
    <w:rsid w:val="00602EAE"/>
    <w:rsid w:val="00630C12"/>
    <w:rsid w:val="00641A33"/>
    <w:rsid w:val="0065673F"/>
    <w:rsid w:val="00660FD7"/>
    <w:rsid w:val="0066580C"/>
    <w:rsid w:val="00677E1C"/>
    <w:rsid w:val="006844D9"/>
    <w:rsid w:val="006A78A1"/>
    <w:rsid w:val="006A7DBA"/>
    <w:rsid w:val="006C79F8"/>
    <w:rsid w:val="006D4773"/>
    <w:rsid w:val="0072300A"/>
    <w:rsid w:val="007349B8"/>
    <w:rsid w:val="00735728"/>
    <w:rsid w:val="00746B17"/>
    <w:rsid w:val="00761D6A"/>
    <w:rsid w:val="007650DD"/>
    <w:rsid w:val="00784F23"/>
    <w:rsid w:val="007906E4"/>
    <w:rsid w:val="00790A30"/>
    <w:rsid w:val="00790D39"/>
    <w:rsid w:val="007918A9"/>
    <w:rsid w:val="007A3235"/>
    <w:rsid w:val="007A4898"/>
    <w:rsid w:val="007B5DFA"/>
    <w:rsid w:val="007B6068"/>
    <w:rsid w:val="007C30C3"/>
    <w:rsid w:val="007C4FB7"/>
    <w:rsid w:val="007F0B76"/>
    <w:rsid w:val="0081089B"/>
    <w:rsid w:val="00814BF7"/>
    <w:rsid w:val="00815256"/>
    <w:rsid w:val="008169AA"/>
    <w:rsid w:val="00832B86"/>
    <w:rsid w:val="00852F49"/>
    <w:rsid w:val="0086434A"/>
    <w:rsid w:val="00867F3E"/>
    <w:rsid w:val="008734ED"/>
    <w:rsid w:val="008746ED"/>
    <w:rsid w:val="008820FF"/>
    <w:rsid w:val="0089169F"/>
    <w:rsid w:val="00897A7C"/>
    <w:rsid w:val="008C3CE7"/>
    <w:rsid w:val="008C4758"/>
    <w:rsid w:val="008C4893"/>
    <w:rsid w:val="008D7477"/>
    <w:rsid w:val="008E503E"/>
    <w:rsid w:val="008F7E95"/>
    <w:rsid w:val="00903604"/>
    <w:rsid w:val="00907CDE"/>
    <w:rsid w:val="009134A3"/>
    <w:rsid w:val="0093370E"/>
    <w:rsid w:val="009522B2"/>
    <w:rsid w:val="00962BA0"/>
    <w:rsid w:val="00965133"/>
    <w:rsid w:val="00980BFF"/>
    <w:rsid w:val="009966E2"/>
    <w:rsid w:val="009B1B4C"/>
    <w:rsid w:val="009C5E6C"/>
    <w:rsid w:val="009D0D7B"/>
    <w:rsid w:val="009D25FE"/>
    <w:rsid w:val="009D4F57"/>
    <w:rsid w:val="009E75D8"/>
    <w:rsid w:val="009F7BE1"/>
    <w:rsid w:val="00A072CA"/>
    <w:rsid w:val="00A1119D"/>
    <w:rsid w:val="00A14B5F"/>
    <w:rsid w:val="00A41EBA"/>
    <w:rsid w:val="00A731B0"/>
    <w:rsid w:val="00A80109"/>
    <w:rsid w:val="00A86448"/>
    <w:rsid w:val="00A93BB6"/>
    <w:rsid w:val="00A9570F"/>
    <w:rsid w:val="00A96C2D"/>
    <w:rsid w:val="00AA6D5B"/>
    <w:rsid w:val="00AB4C1A"/>
    <w:rsid w:val="00AD0A95"/>
    <w:rsid w:val="00AD0DD5"/>
    <w:rsid w:val="00AD6242"/>
    <w:rsid w:val="00AE2405"/>
    <w:rsid w:val="00AE440C"/>
    <w:rsid w:val="00AE58AD"/>
    <w:rsid w:val="00AE708B"/>
    <w:rsid w:val="00B111D9"/>
    <w:rsid w:val="00B20AC8"/>
    <w:rsid w:val="00B247AE"/>
    <w:rsid w:val="00B537C1"/>
    <w:rsid w:val="00B54AF6"/>
    <w:rsid w:val="00B55399"/>
    <w:rsid w:val="00B73D82"/>
    <w:rsid w:val="00B77EB2"/>
    <w:rsid w:val="00B86B7F"/>
    <w:rsid w:val="00B86EB9"/>
    <w:rsid w:val="00BB37ED"/>
    <w:rsid w:val="00BC2194"/>
    <w:rsid w:val="00BC6436"/>
    <w:rsid w:val="00BF0386"/>
    <w:rsid w:val="00C110E0"/>
    <w:rsid w:val="00C121C4"/>
    <w:rsid w:val="00C278AD"/>
    <w:rsid w:val="00C429EE"/>
    <w:rsid w:val="00C53172"/>
    <w:rsid w:val="00C70AF1"/>
    <w:rsid w:val="00C748E2"/>
    <w:rsid w:val="00C90223"/>
    <w:rsid w:val="00C96A81"/>
    <w:rsid w:val="00CA3999"/>
    <w:rsid w:val="00CA5430"/>
    <w:rsid w:val="00CD4CB8"/>
    <w:rsid w:val="00CD78BD"/>
    <w:rsid w:val="00CF4988"/>
    <w:rsid w:val="00D01E2B"/>
    <w:rsid w:val="00D040A3"/>
    <w:rsid w:val="00D57DD8"/>
    <w:rsid w:val="00D60475"/>
    <w:rsid w:val="00D64687"/>
    <w:rsid w:val="00D648C1"/>
    <w:rsid w:val="00D70A20"/>
    <w:rsid w:val="00D82FA5"/>
    <w:rsid w:val="00D878BD"/>
    <w:rsid w:val="00DA141B"/>
    <w:rsid w:val="00DA6550"/>
    <w:rsid w:val="00DA7AEE"/>
    <w:rsid w:val="00DC008A"/>
    <w:rsid w:val="00DD09BD"/>
    <w:rsid w:val="00E00362"/>
    <w:rsid w:val="00E21BC1"/>
    <w:rsid w:val="00E225A4"/>
    <w:rsid w:val="00E3116A"/>
    <w:rsid w:val="00E51881"/>
    <w:rsid w:val="00E61C32"/>
    <w:rsid w:val="00E63825"/>
    <w:rsid w:val="00E63B4E"/>
    <w:rsid w:val="00E847BD"/>
    <w:rsid w:val="00EB4CDA"/>
    <w:rsid w:val="00EC3674"/>
    <w:rsid w:val="00EC70A4"/>
    <w:rsid w:val="00ED6A85"/>
    <w:rsid w:val="00F06B68"/>
    <w:rsid w:val="00F154D9"/>
    <w:rsid w:val="00F271DD"/>
    <w:rsid w:val="00F50FD5"/>
    <w:rsid w:val="00F574E9"/>
    <w:rsid w:val="00F649D6"/>
    <w:rsid w:val="00F8186B"/>
    <w:rsid w:val="00FC2ED5"/>
    <w:rsid w:val="00FD0A27"/>
    <w:rsid w:val="00FE02F5"/>
    <w:rsid w:val="00FE2CDE"/>
    <w:rsid w:val="00FF4F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HG-Standard"/>
    <w:qFormat/>
    <w:rsid w:val="00B20AC8"/>
    <w:pPr>
      <w:spacing w:line="250" w:lineRule="exact"/>
      <w:jc w:val="both"/>
    </w:pPr>
    <w:rPr>
      <w:rFonts w:ascii="Arial" w:hAnsi="Arial"/>
      <w:sz w:val="19"/>
      <w:szCs w:val="22"/>
      <w:lang w:val="en-US" w:eastAsia="en-US"/>
    </w:rPr>
  </w:style>
  <w:style w:type="paragraph" w:styleId="Heading1">
    <w:name w:val="heading 1"/>
    <w:aliases w:val="CHG-Überschrift"/>
    <w:basedOn w:val="Normal"/>
    <w:next w:val="Normal"/>
    <w:link w:val="Heading1Char"/>
    <w:uiPriority w:val="9"/>
    <w:qFormat/>
    <w:rsid w:val="00B20AC8"/>
    <w:pPr>
      <w:keepNext/>
      <w:outlineLvl w:val="0"/>
    </w:pPr>
    <w:rPr>
      <w:rFonts w:eastAsia="Times New Roman"/>
      <w:b/>
      <w:bCs/>
      <w:color w:val="6F6F6E"/>
      <w:kern w:val="32"/>
      <w:szCs w:val="32"/>
    </w:rPr>
  </w:style>
  <w:style w:type="paragraph" w:styleId="Heading2">
    <w:name w:val="heading 2"/>
    <w:aliases w:val="CHG-Titel"/>
    <w:basedOn w:val="Normal"/>
    <w:next w:val="Normal"/>
    <w:link w:val="Heading2Char"/>
    <w:uiPriority w:val="9"/>
    <w:unhideWhenUsed/>
    <w:qFormat/>
    <w:rsid w:val="00B20AC8"/>
    <w:pPr>
      <w:keepNext/>
      <w:spacing w:line="240" w:lineRule="auto"/>
      <w:outlineLvl w:val="1"/>
    </w:pPr>
    <w:rPr>
      <w:rFonts w:eastAsia="Times New Roman"/>
      <w:b/>
      <w:bCs/>
      <w:iCs/>
      <w:color w:val="6F6F6E"/>
      <w:sz w:val="5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879"/>
    <w:pPr>
      <w:tabs>
        <w:tab w:val="center" w:pos="4536"/>
        <w:tab w:val="right" w:pos="9072"/>
      </w:tabs>
    </w:pPr>
  </w:style>
  <w:style w:type="character" w:customStyle="1" w:styleId="HeaderChar">
    <w:name w:val="Header Char"/>
    <w:link w:val="Header"/>
    <w:uiPriority w:val="99"/>
    <w:rsid w:val="00193879"/>
    <w:rPr>
      <w:sz w:val="22"/>
      <w:szCs w:val="22"/>
    </w:rPr>
  </w:style>
  <w:style w:type="paragraph" w:styleId="Footer">
    <w:name w:val="footer"/>
    <w:basedOn w:val="Normal"/>
    <w:link w:val="FooterChar"/>
    <w:uiPriority w:val="99"/>
    <w:unhideWhenUsed/>
    <w:rsid w:val="00193879"/>
    <w:pPr>
      <w:tabs>
        <w:tab w:val="center" w:pos="4536"/>
        <w:tab w:val="right" w:pos="9072"/>
      </w:tabs>
    </w:pPr>
  </w:style>
  <w:style w:type="character" w:customStyle="1" w:styleId="FooterChar">
    <w:name w:val="Footer Char"/>
    <w:link w:val="Footer"/>
    <w:uiPriority w:val="99"/>
    <w:rsid w:val="00193879"/>
    <w:rPr>
      <w:sz w:val="22"/>
      <w:szCs w:val="22"/>
    </w:rPr>
  </w:style>
  <w:style w:type="character" w:styleId="Hyperlink">
    <w:name w:val="Hyperlink"/>
    <w:uiPriority w:val="99"/>
    <w:unhideWhenUsed/>
    <w:rsid w:val="00DA141B"/>
    <w:rPr>
      <w:color w:val="0000FF"/>
      <w:u w:val="single"/>
    </w:rPr>
  </w:style>
  <w:style w:type="paragraph" w:styleId="BalloonText">
    <w:name w:val="Balloon Text"/>
    <w:basedOn w:val="Normal"/>
    <w:link w:val="BalloonTextChar"/>
    <w:uiPriority w:val="99"/>
    <w:semiHidden/>
    <w:unhideWhenUsed/>
    <w:rsid w:val="007B5DF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B5DFA"/>
    <w:rPr>
      <w:rFonts w:ascii="Tahoma" w:hAnsi="Tahoma" w:cs="Tahoma"/>
      <w:sz w:val="16"/>
      <w:szCs w:val="16"/>
    </w:rPr>
  </w:style>
  <w:style w:type="paragraph" w:customStyle="1" w:styleId="EinfAbs">
    <w:name w:val="[Einf. Abs.]"/>
    <w:basedOn w:val="Normal"/>
    <w:uiPriority w:val="99"/>
    <w:rsid w:val="00005023"/>
    <w:pPr>
      <w:autoSpaceDE w:val="0"/>
      <w:autoSpaceDN w:val="0"/>
      <w:spacing w:line="288" w:lineRule="auto"/>
    </w:pPr>
    <w:rPr>
      <w:rFonts w:ascii="Minion Pro" w:hAnsi="Minion Pro"/>
      <w:color w:val="000000"/>
      <w:sz w:val="24"/>
      <w:szCs w:val="24"/>
    </w:rPr>
  </w:style>
  <w:style w:type="paragraph" w:styleId="BodyText2">
    <w:name w:val="Body Text 2"/>
    <w:basedOn w:val="Normal"/>
    <w:link w:val="BodyText2Char"/>
    <w:semiHidden/>
    <w:rsid w:val="006A7DBA"/>
    <w:pPr>
      <w:spacing w:line="240" w:lineRule="auto"/>
    </w:pPr>
    <w:rPr>
      <w:rFonts w:eastAsia="Times New Roman"/>
      <w:szCs w:val="20"/>
      <w:lang w:val="de-DE" w:eastAsia="de-DE"/>
    </w:rPr>
  </w:style>
  <w:style w:type="character" w:customStyle="1" w:styleId="BodyText2Char">
    <w:name w:val="Body Text 2 Char"/>
    <w:link w:val="BodyText2"/>
    <w:semiHidden/>
    <w:rsid w:val="006A7DBA"/>
    <w:rPr>
      <w:rFonts w:ascii="Arial" w:eastAsia="Times New Roman" w:hAnsi="Arial"/>
      <w:sz w:val="22"/>
      <w:lang w:val="de-DE" w:eastAsia="de-DE"/>
    </w:rPr>
  </w:style>
  <w:style w:type="paragraph" w:styleId="NoSpacing">
    <w:name w:val="No Spacing"/>
    <w:aliases w:val="CHG-Agreement"/>
    <w:uiPriority w:val="1"/>
    <w:qFormat/>
    <w:rsid w:val="00B20AC8"/>
    <w:pPr>
      <w:spacing w:line="200" w:lineRule="exact"/>
      <w:jc w:val="both"/>
    </w:pPr>
    <w:rPr>
      <w:rFonts w:ascii="Arial" w:hAnsi="Arial"/>
      <w:sz w:val="14"/>
      <w:szCs w:val="22"/>
      <w:lang w:val="en-US" w:eastAsia="en-US"/>
    </w:rPr>
  </w:style>
  <w:style w:type="character" w:customStyle="1" w:styleId="Heading1Char">
    <w:name w:val="Heading 1 Char"/>
    <w:aliases w:val="CHG-Überschrift Char"/>
    <w:link w:val="Heading1"/>
    <w:uiPriority w:val="9"/>
    <w:rsid w:val="00B20AC8"/>
    <w:rPr>
      <w:rFonts w:ascii="Arial" w:eastAsia="Times New Roman" w:hAnsi="Arial" w:cs="Times New Roman"/>
      <w:b/>
      <w:bCs/>
      <w:color w:val="6F6F6E"/>
      <w:kern w:val="32"/>
      <w:sz w:val="19"/>
      <w:szCs w:val="32"/>
    </w:rPr>
  </w:style>
  <w:style w:type="character" w:customStyle="1" w:styleId="Heading2Char">
    <w:name w:val="Heading 2 Char"/>
    <w:aliases w:val="CHG-Titel Char"/>
    <w:link w:val="Heading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Heading1"/>
    <w:link w:val="Ebene1CHG-berschriftZchn"/>
    <w:qFormat/>
    <w:rsid w:val="00D60475"/>
    <w:pPr>
      <w:numPr>
        <w:numId w:val="1"/>
      </w:numPr>
      <w:spacing w:before="240" w:after="240"/>
    </w:pPr>
    <w:rPr>
      <w:color w:val="7A716F"/>
      <w:sz w:val="22"/>
      <w:szCs w:val="22"/>
      <w:lang w:val="de-DE"/>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Normal"/>
    <w:link w:val="AufzhlungspunkteCHG-MERIDIANZchn"/>
    <w:qFormat/>
    <w:rsid w:val="00D60475"/>
    <w:pPr>
      <w:numPr>
        <w:numId w:val="3"/>
      </w:numPr>
      <w:jc w:val="left"/>
    </w:pPr>
    <w:rPr>
      <w:lang w:val="de-DE"/>
    </w:rPr>
  </w:style>
  <w:style w:type="character" w:customStyle="1" w:styleId="AufzhlungspunkteCHG-MERIDIANZchn">
    <w:name w:val="Aufzählungspunkte CHG-MERIDIAN Zchn"/>
    <w:link w:val="AufzhlungspunkteCHG-MERIDIAN"/>
    <w:rsid w:val="00D60475"/>
    <w:rPr>
      <w:rFonts w:ascii="Arial" w:hAnsi="Arial"/>
      <w:sz w:val="19"/>
      <w:szCs w:val="22"/>
      <w:lang w:eastAsia="en-US"/>
    </w:rPr>
  </w:style>
  <w:style w:type="paragraph" w:customStyle="1" w:styleId="CHG-Abbildung">
    <w:name w:val="CHG-Abbildung"/>
    <w:basedOn w:val="Normal"/>
    <w:link w:val="CHG-AbbildungZchn"/>
    <w:qFormat/>
    <w:rsid w:val="00D60475"/>
    <w:pPr>
      <w:jc w:val="center"/>
    </w:pPr>
    <w:rPr>
      <w:b/>
      <w:color w:val="A39D9B"/>
      <w:lang w:val="de-DE"/>
    </w:rPr>
  </w:style>
  <w:style w:type="character" w:customStyle="1" w:styleId="CHG-AbbildungZchn">
    <w:name w:val="CHG-Abbildung Zchn"/>
    <w:basedOn w:val="DefaultParagraphFont"/>
    <w:link w:val="CHG-Abbildung"/>
    <w:rsid w:val="00D60475"/>
    <w:rPr>
      <w:rFonts w:ascii="Arial" w:hAnsi="Arial"/>
      <w:b/>
      <w:color w:val="A39D9B"/>
      <w:sz w:val="19"/>
      <w:szCs w:val="22"/>
      <w:lang w:eastAsia="en-US"/>
    </w:rPr>
  </w:style>
  <w:style w:type="paragraph" w:customStyle="1" w:styleId="CHG-Unterberschrift">
    <w:name w:val="CHG-Unterüberschrift"/>
    <w:basedOn w:val="Normal"/>
    <w:link w:val="CHG-UnterberschriftZchn"/>
    <w:qFormat/>
    <w:rsid w:val="00D60475"/>
    <w:pPr>
      <w:keepNext/>
      <w:spacing w:before="240" w:after="240"/>
      <w:outlineLvl w:val="0"/>
    </w:pPr>
    <w:rPr>
      <w:rFonts w:eastAsia="Times New Roman"/>
      <w:b/>
      <w:bCs/>
      <w:noProof/>
      <w:color w:val="7A716F"/>
      <w:kern w:val="32"/>
      <w:szCs w:val="32"/>
      <w:lang w:val="de-DE" w:eastAsia="de-DE"/>
    </w:rPr>
  </w:style>
  <w:style w:type="character" w:customStyle="1" w:styleId="CHG-UnterberschriftZchn">
    <w:name w:val="CHG-Unterüberschrift Zchn"/>
    <w:basedOn w:val="DefaultParagraphFont"/>
    <w:link w:val="CHG-Unterberschrift"/>
    <w:rsid w:val="00D60475"/>
    <w:rPr>
      <w:rFonts w:ascii="Arial" w:eastAsia="Times New Roman" w:hAnsi="Arial"/>
      <w:b/>
      <w:bCs/>
      <w:noProof/>
      <w:color w:val="7A716F"/>
      <w:kern w:val="32"/>
      <w:sz w:val="19"/>
      <w:szCs w:val="32"/>
    </w:rPr>
  </w:style>
  <w:style w:type="paragraph" w:styleId="ListParagraph">
    <w:name w:val="List Paragraph"/>
    <w:basedOn w:val="Normal"/>
    <w:uiPriority w:val="34"/>
    <w:rsid w:val="00B86B7F"/>
    <w:pPr>
      <w:ind w:left="720"/>
      <w:contextualSpacing/>
    </w:pPr>
  </w:style>
  <w:style w:type="paragraph" w:customStyle="1" w:styleId="SchlagzeilePressemitteilung">
    <w:name w:val="Schlagzeile Pressemitteilung"/>
    <w:basedOn w:val="Normal"/>
    <w:link w:val="SchlagzeilePressemitteilungZchn"/>
    <w:qFormat/>
    <w:rsid w:val="00F649D6"/>
    <w:pPr>
      <w:framePr w:w="7813" w:h="420" w:wrap="around" w:vAnchor="page" w:hAnchor="page" w:x="1186" w:y="3006" w:anchorLock="1"/>
      <w:spacing w:line="360" w:lineRule="auto"/>
      <w:jc w:val="left"/>
    </w:pPr>
    <w:rPr>
      <w:b/>
      <w:color w:val="6F6F6E"/>
      <w:sz w:val="30"/>
      <w:szCs w:val="30"/>
      <w:lang w:val="de-DE"/>
    </w:rPr>
  </w:style>
  <w:style w:type="character" w:customStyle="1" w:styleId="SchlagzeilePressemitteilungZchn">
    <w:name w:val="Schlagzeile Pressemitteilung Zchn"/>
    <w:link w:val="SchlagzeilePressemitteilung"/>
    <w:rsid w:val="00F649D6"/>
    <w:rPr>
      <w:rFonts w:ascii="Arial" w:hAnsi="Arial"/>
      <w:b/>
      <w:color w:val="6F6F6E"/>
      <w:sz w:val="30"/>
      <w:szCs w:val="3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HG-Standard"/>
    <w:qFormat/>
    <w:rsid w:val="00B20AC8"/>
    <w:pPr>
      <w:spacing w:line="250" w:lineRule="exact"/>
      <w:jc w:val="both"/>
    </w:pPr>
    <w:rPr>
      <w:rFonts w:ascii="Arial" w:hAnsi="Arial"/>
      <w:sz w:val="19"/>
      <w:szCs w:val="22"/>
      <w:lang w:val="en-US" w:eastAsia="en-US"/>
    </w:rPr>
  </w:style>
  <w:style w:type="paragraph" w:styleId="Heading1">
    <w:name w:val="heading 1"/>
    <w:aliases w:val="CHG-Überschrift"/>
    <w:basedOn w:val="Normal"/>
    <w:next w:val="Normal"/>
    <w:link w:val="Heading1Char"/>
    <w:uiPriority w:val="9"/>
    <w:qFormat/>
    <w:rsid w:val="00B20AC8"/>
    <w:pPr>
      <w:keepNext/>
      <w:outlineLvl w:val="0"/>
    </w:pPr>
    <w:rPr>
      <w:rFonts w:eastAsia="Times New Roman"/>
      <w:b/>
      <w:bCs/>
      <w:color w:val="6F6F6E"/>
      <w:kern w:val="32"/>
      <w:szCs w:val="32"/>
    </w:rPr>
  </w:style>
  <w:style w:type="paragraph" w:styleId="Heading2">
    <w:name w:val="heading 2"/>
    <w:aliases w:val="CHG-Titel"/>
    <w:basedOn w:val="Normal"/>
    <w:next w:val="Normal"/>
    <w:link w:val="Heading2Char"/>
    <w:uiPriority w:val="9"/>
    <w:unhideWhenUsed/>
    <w:qFormat/>
    <w:rsid w:val="00B20AC8"/>
    <w:pPr>
      <w:keepNext/>
      <w:spacing w:line="240" w:lineRule="auto"/>
      <w:outlineLvl w:val="1"/>
    </w:pPr>
    <w:rPr>
      <w:rFonts w:eastAsia="Times New Roman"/>
      <w:b/>
      <w:bCs/>
      <w:iCs/>
      <w:color w:val="6F6F6E"/>
      <w:sz w:val="5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879"/>
    <w:pPr>
      <w:tabs>
        <w:tab w:val="center" w:pos="4536"/>
        <w:tab w:val="right" w:pos="9072"/>
      </w:tabs>
    </w:pPr>
  </w:style>
  <w:style w:type="character" w:customStyle="1" w:styleId="HeaderChar">
    <w:name w:val="Header Char"/>
    <w:link w:val="Header"/>
    <w:uiPriority w:val="99"/>
    <w:rsid w:val="00193879"/>
    <w:rPr>
      <w:sz w:val="22"/>
      <w:szCs w:val="22"/>
    </w:rPr>
  </w:style>
  <w:style w:type="paragraph" w:styleId="Footer">
    <w:name w:val="footer"/>
    <w:basedOn w:val="Normal"/>
    <w:link w:val="FooterChar"/>
    <w:uiPriority w:val="99"/>
    <w:unhideWhenUsed/>
    <w:rsid w:val="00193879"/>
    <w:pPr>
      <w:tabs>
        <w:tab w:val="center" w:pos="4536"/>
        <w:tab w:val="right" w:pos="9072"/>
      </w:tabs>
    </w:pPr>
  </w:style>
  <w:style w:type="character" w:customStyle="1" w:styleId="FooterChar">
    <w:name w:val="Footer Char"/>
    <w:link w:val="Footer"/>
    <w:uiPriority w:val="99"/>
    <w:rsid w:val="00193879"/>
    <w:rPr>
      <w:sz w:val="22"/>
      <w:szCs w:val="22"/>
    </w:rPr>
  </w:style>
  <w:style w:type="character" w:styleId="Hyperlink">
    <w:name w:val="Hyperlink"/>
    <w:uiPriority w:val="99"/>
    <w:unhideWhenUsed/>
    <w:rsid w:val="00DA141B"/>
    <w:rPr>
      <w:color w:val="0000FF"/>
      <w:u w:val="single"/>
    </w:rPr>
  </w:style>
  <w:style w:type="paragraph" w:styleId="BalloonText">
    <w:name w:val="Balloon Text"/>
    <w:basedOn w:val="Normal"/>
    <w:link w:val="BalloonTextChar"/>
    <w:uiPriority w:val="99"/>
    <w:semiHidden/>
    <w:unhideWhenUsed/>
    <w:rsid w:val="007B5DF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B5DFA"/>
    <w:rPr>
      <w:rFonts w:ascii="Tahoma" w:hAnsi="Tahoma" w:cs="Tahoma"/>
      <w:sz w:val="16"/>
      <w:szCs w:val="16"/>
    </w:rPr>
  </w:style>
  <w:style w:type="paragraph" w:customStyle="1" w:styleId="EinfAbs">
    <w:name w:val="[Einf. Abs.]"/>
    <w:basedOn w:val="Normal"/>
    <w:uiPriority w:val="99"/>
    <w:rsid w:val="00005023"/>
    <w:pPr>
      <w:autoSpaceDE w:val="0"/>
      <w:autoSpaceDN w:val="0"/>
      <w:spacing w:line="288" w:lineRule="auto"/>
    </w:pPr>
    <w:rPr>
      <w:rFonts w:ascii="Minion Pro" w:hAnsi="Minion Pro"/>
      <w:color w:val="000000"/>
      <w:sz w:val="24"/>
      <w:szCs w:val="24"/>
    </w:rPr>
  </w:style>
  <w:style w:type="paragraph" w:styleId="BodyText2">
    <w:name w:val="Body Text 2"/>
    <w:basedOn w:val="Normal"/>
    <w:link w:val="BodyText2Char"/>
    <w:semiHidden/>
    <w:rsid w:val="006A7DBA"/>
    <w:pPr>
      <w:spacing w:line="240" w:lineRule="auto"/>
    </w:pPr>
    <w:rPr>
      <w:rFonts w:eastAsia="Times New Roman"/>
      <w:szCs w:val="20"/>
      <w:lang w:val="de-DE" w:eastAsia="de-DE"/>
    </w:rPr>
  </w:style>
  <w:style w:type="character" w:customStyle="1" w:styleId="BodyText2Char">
    <w:name w:val="Body Text 2 Char"/>
    <w:link w:val="BodyText2"/>
    <w:semiHidden/>
    <w:rsid w:val="006A7DBA"/>
    <w:rPr>
      <w:rFonts w:ascii="Arial" w:eastAsia="Times New Roman" w:hAnsi="Arial"/>
      <w:sz w:val="22"/>
      <w:lang w:val="de-DE" w:eastAsia="de-DE"/>
    </w:rPr>
  </w:style>
  <w:style w:type="paragraph" w:styleId="NoSpacing">
    <w:name w:val="No Spacing"/>
    <w:aliases w:val="CHG-Agreement"/>
    <w:uiPriority w:val="1"/>
    <w:qFormat/>
    <w:rsid w:val="00B20AC8"/>
    <w:pPr>
      <w:spacing w:line="200" w:lineRule="exact"/>
      <w:jc w:val="both"/>
    </w:pPr>
    <w:rPr>
      <w:rFonts w:ascii="Arial" w:hAnsi="Arial"/>
      <w:sz w:val="14"/>
      <w:szCs w:val="22"/>
      <w:lang w:val="en-US" w:eastAsia="en-US"/>
    </w:rPr>
  </w:style>
  <w:style w:type="character" w:customStyle="1" w:styleId="Heading1Char">
    <w:name w:val="Heading 1 Char"/>
    <w:aliases w:val="CHG-Überschrift Char"/>
    <w:link w:val="Heading1"/>
    <w:uiPriority w:val="9"/>
    <w:rsid w:val="00B20AC8"/>
    <w:rPr>
      <w:rFonts w:ascii="Arial" w:eastAsia="Times New Roman" w:hAnsi="Arial" w:cs="Times New Roman"/>
      <w:b/>
      <w:bCs/>
      <w:color w:val="6F6F6E"/>
      <w:kern w:val="32"/>
      <w:sz w:val="19"/>
      <w:szCs w:val="32"/>
    </w:rPr>
  </w:style>
  <w:style w:type="character" w:customStyle="1" w:styleId="Heading2Char">
    <w:name w:val="Heading 2 Char"/>
    <w:aliases w:val="CHG-Titel Char"/>
    <w:link w:val="Heading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Heading1"/>
    <w:link w:val="Ebene1CHG-berschriftZchn"/>
    <w:qFormat/>
    <w:rsid w:val="00D60475"/>
    <w:pPr>
      <w:numPr>
        <w:numId w:val="1"/>
      </w:numPr>
      <w:spacing w:before="240" w:after="240"/>
    </w:pPr>
    <w:rPr>
      <w:color w:val="7A716F"/>
      <w:sz w:val="22"/>
      <w:szCs w:val="22"/>
      <w:lang w:val="de-DE"/>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Normal"/>
    <w:link w:val="AufzhlungspunkteCHG-MERIDIANZchn"/>
    <w:qFormat/>
    <w:rsid w:val="00D60475"/>
    <w:pPr>
      <w:numPr>
        <w:numId w:val="3"/>
      </w:numPr>
      <w:jc w:val="left"/>
    </w:pPr>
    <w:rPr>
      <w:lang w:val="de-DE"/>
    </w:rPr>
  </w:style>
  <w:style w:type="character" w:customStyle="1" w:styleId="AufzhlungspunkteCHG-MERIDIANZchn">
    <w:name w:val="Aufzählungspunkte CHG-MERIDIAN Zchn"/>
    <w:link w:val="AufzhlungspunkteCHG-MERIDIAN"/>
    <w:rsid w:val="00D60475"/>
    <w:rPr>
      <w:rFonts w:ascii="Arial" w:hAnsi="Arial"/>
      <w:sz w:val="19"/>
      <w:szCs w:val="22"/>
      <w:lang w:eastAsia="en-US"/>
    </w:rPr>
  </w:style>
  <w:style w:type="paragraph" w:customStyle="1" w:styleId="CHG-Abbildung">
    <w:name w:val="CHG-Abbildung"/>
    <w:basedOn w:val="Normal"/>
    <w:link w:val="CHG-AbbildungZchn"/>
    <w:qFormat/>
    <w:rsid w:val="00D60475"/>
    <w:pPr>
      <w:jc w:val="center"/>
    </w:pPr>
    <w:rPr>
      <w:b/>
      <w:color w:val="A39D9B"/>
      <w:lang w:val="de-DE"/>
    </w:rPr>
  </w:style>
  <w:style w:type="character" w:customStyle="1" w:styleId="CHG-AbbildungZchn">
    <w:name w:val="CHG-Abbildung Zchn"/>
    <w:basedOn w:val="DefaultParagraphFont"/>
    <w:link w:val="CHG-Abbildung"/>
    <w:rsid w:val="00D60475"/>
    <w:rPr>
      <w:rFonts w:ascii="Arial" w:hAnsi="Arial"/>
      <w:b/>
      <w:color w:val="A39D9B"/>
      <w:sz w:val="19"/>
      <w:szCs w:val="22"/>
      <w:lang w:eastAsia="en-US"/>
    </w:rPr>
  </w:style>
  <w:style w:type="paragraph" w:customStyle="1" w:styleId="CHG-Unterberschrift">
    <w:name w:val="CHG-Unterüberschrift"/>
    <w:basedOn w:val="Normal"/>
    <w:link w:val="CHG-UnterberschriftZchn"/>
    <w:qFormat/>
    <w:rsid w:val="00D60475"/>
    <w:pPr>
      <w:keepNext/>
      <w:spacing w:before="240" w:after="240"/>
      <w:outlineLvl w:val="0"/>
    </w:pPr>
    <w:rPr>
      <w:rFonts w:eastAsia="Times New Roman"/>
      <w:b/>
      <w:bCs/>
      <w:noProof/>
      <w:color w:val="7A716F"/>
      <w:kern w:val="32"/>
      <w:szCs w:val="32"/>
      <w:lang w:val="de-DE" w:eastAsia="de-DE"/>
    </w:rPr>
  </w:style>
  <w:style w:type="character" w:customStyle="1" w:styleId="CHG-UnterberschriftZchn">
    <w:name w:val="CHG-Unterüberschrift Zchn"/>
    <w:basedOn w:val="DefaultParagraphFont"/>
    <w:link w:val="CHG-Unterberschrift"/>
    <w:rsid w:val="00D60475"/>
    <w:rPr>
      <w:rFonts w:ascii="Arial" w:eastAsia="Times New Roman" w:hAnsi="Arial"/>
      <w:b/>
      <w:bCs/>
      <w:noProof/>
      <w:color w:val="7A716F"/>
      <w:kern w:val="32"/>
      <w:sz w:val="19"/>
      <w:szCs w:val="32"/>
    </w:rPr>
  </w:style>
  <w:style w:type="paragraph" w:styleId="ListParagraph">
    <w:name w:val="List Paragraph"/>
    <w:basedOn w:val="Normal"/>
    <w:uiPriority w:val="34"/>
    <w:rsid w:val="00B86B7F"/>
    <w:pPr>
      <w:ind w:left="720"/>
      <w:contextualSpacing/>
    </w:pPr>
  </w:style>
  <w:style w:type="paragraph" w:customStyle="1" w:styleId="SchlagzeilePressemitteilung">
    <w:name w:val="Schlagzeile Pressemitteilung"/>
    <w:basedOn w:val="Normal"/>
    <w:link w:val="SchlagzeilePressemitteilungZchn"/>
    <w:qFormat/>
    <w:rsid w:val="00F649D6"/>
    <w:pPr>
      <w:framePr w:w="7813" w:h="420" w:wrap="around" w:vAnchor="page" w:hAnchor="page" w:x="1186" w:y="3006" w:anchorLock="1"/>
      <w:spacing w:line="360" w:lineRule="auto"/>
      <w:jc w:val="left"/>
    </w:pPr>
    <w:rPr>
      <w:b/>
      <w:color w:val="6F6F6E"/>
      <w:sz w:val="30"/>
      <w:szCs w:val="30"/>
      <w:lang w:val="de-DE"/>
    </w:rPr>
  </w:style>
  <w:style w:type="character" w:customStyle="1" w:styleId="SchlagzeilePressemitteilungZchn">
    <w:name w:val="Schlagzeile Pressemitteilung Zchn"/>
    <w:link w:val="SchlagzeilePressemitteilung"/>
    <w:rsid w:val="00F649D6"/>
    <w:rPr>
      <w:rFonts w:ascii="Arial" w:hAnsi="Arial"/>
      <w:b/>
      <w:color w:val="6F6F6E"/>
      <w:sz w:val="3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6618">
      <w:bodyDiv w:val="1"/>
      <w:marLeft w:val="0"/>
      <w:marRight w:val="0"/>
      <w:marTop w:val="0"/>
      <w:marBottom w:val="0"/>
      <w:divBdr>
        <w:top w:val="none" w:sz="0" w:space="0" w:color="auto"/>
        <w:left w:val="none" w:sz="0" w:space="0" w:color="auto"/>
        <w:bottom w:val="none" w:sz="0" w:space="0" w:color="auto"/>
        <w:right w:val="none" w:sz="0" w:space="0" w:color="auto"/>
      </w:divBdr>
    </w:div>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662128656">
      <w:bodyDiv w:val="1"/>
      <w:marLeft w:val="0"/>
      <w:marRight w:val="0"/>
      <w:marTop w:val="0"/>
      <w:marBottom w:val="0"/>
      <w:divBdr>
        <w:top w:val="none" w:sz="0" w:space="0" w:color="auto"/>
        <w:left w:val="none" w:sz="0" w:space="0" w:color="auto"/>
        <w:bottom w:val="none" w:sz="0" w:space="0" w:color="auto"/>
        <w:right w:val="none" w:sz="0" w:space="0" w:color="auto"/>
      </w:divBdr>
    </w:div>
    <w:div w:id="991523839">
      <w:bodyDiv w:val="1"/>
      <w:marLeft w:val="0"/>
      <w:marRight w:val="0"/>
      <w:marTop w:val="0"/>
      <w:marBottom w:val="0"/>
      <w:divBdr>
        <w:top w:val="none" w:sz="0" w:space="0" w:color="auto"/>
        <w:left w:val="none" w:sz="0" w:space="0" w:color="auto"/>
        <w:bottom w:val="none" w:sz="0" w:space="0" w:color="auto"/>
        <w:right w:val="none" w:sz="0" w:space="0" w:color="auto"/>
      </w:divBdr>
    </w:div>
    <w:div w:id="1180270173">
      <w:bodyDiv w:val="1"/>
      <w:marLeft w:val="0"/>
      <w:marRight w:val="0"/>
      <w:marTop w:val="0"/>
      <w:marBottom w:val="0"/>
      <w:divBdr>
        <w:top w:val="none" w:sz="0" w:space="0" w:color="auto"/>
        <w:left w:val="none" w:sz="0" w:space="0" w:color="auto"/>
        <w:bottom w:val="none" w:sz="0" w:space="0" w:color="auto"/>
        <w:right w:val="none" w:sz="0" w:space="0" w:color="auto"/>
      </w:divBdr>
    </w:div>
    <w:div w:id="1763406144">
      <w:bodyDiv w:val="1"/>
      <w:marLeft w:val="0"/>
      <w:marRight w:val="0"/>
      <w:marTop w:val="0"/>
      <w:marBottom w:val="0"/>
      <w:divBdr>
        <w:top w:val="none" w:sz="0" w:space="0" w:color="auto"/>
        <w:left w:val="none" w:sz="0" w:space="0" w:color="auto"/>
        <w:bottom w:val="none" w:sz="0" w:space="0" w:color="auto"/>
        <w:right w:val="none" w:sz="0" w:space="0" w:color="auto"/>
      </w:divBdr>
    </w:div>
    <w:div w:id="1859345163">
      <w:bodyDiv w:val="1"/>
      <w:marLeft w:val="0"/>
      <w:marRight w:val="0"/>
      <w:marTop w:val="0"/>
      <w:marBottom w:val="0"/>
      <w:divBdr>
        <w:top w:val="none" w:sz="0" w:space="0" w:color="auto"/>
        <w:left w:val="none" w:sz="0" w:space="0" w:color="auto"/>
        <w:bottom w:val="none" w:sz="0" w:space="0" w:color="auto"/>
        <w:right w:val="none" w:sz="0" w:space="0" w:color="auto"/>
      </w:divBdr>
    </w:div>
    <w:div w:id="1876502411">
      <w:bodyDiv w:val="1"/>
      <w:marLeft w:val="0"/>
      <w:marRight w:val="0"/>
      <w:marTop w:val="0"/>
      <w:marBottom w:val="0"/>
      <w:divBdr>
        <w:top w:val="none" w:sz="0" w:space="0" w:color="auto"/>
        <w:left w:val="none" w:sz="0" w:space="0" w:color="auto"/>
        <w:bottom w:val="none" w:sz="0" w:space="0" w:color="auto"/>
        <w:right w:val="none" w:sz="0" w:space="0" w:color="auto"/>
      </w:divBdr>
    </w:div>
    <w:div w:id="1943681162">
      <w:bodyDiv w:val="1"/>
      <w:marLeft w:val="0"/>
      <w:marRight w:val="0"/>
      <w:marTop w:val="0"/>
      <w:marBottom w:val="0"/>
      <w:divBdr>
        <w:top w:val="none" w:sz="0" w:space="0" w:color="auto"/>
        <w:left w:val="none" w:sz="0" w:space="0" w:color="auto"/>
        <w:bottom w:val="none" w:sz="0" w:space="0" w:color="auto"/>
        <w:right w:val="none" w:sz="0" w:space="0" w:color="auto"/>
      </w:divBdr>
    </w:div>
    <w:div w:id="198561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hg-meridia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matthias.steybe@chg-" TargetMode="External"/></Relationships>
</file>

<file path=word/theme/theme1.xml><?xml version="1.0" encoding="utf-8"?>
<a:theme xmlns:a="http://schemas.openxmlformats.org/drawingml/2006/main" name="CHG-MERIDIAN Design">
  <a:themeElements>
    <a:clrScheme name="CHG-MERIDIAN Colors">
      <a:dk1>
        <a:srgbClr val="7A716F"/>
      </a:dk1>
      <a:lt1>
        <a:srgbClr val="D6D1C0"/>
      </a:lt1>
      <a:dk2>
        <a:srgbClr val="A39D9B"/>
      </a:dk2>
      <a:lt2>
        <a:srgbClr val="ADB0B3"/>
      </a:lt2>
      <a:accent1>
        <a:srgbClr val="7B868F"/>
      </a:accent1>
      <a:accent2>
        <a:srgbClr val="ACA53D"/>
      </a:accent2>
      <a:accent3>
        <a:srgbClr val="6966A8"/>
      </a:accent3>
      <a:accent4>
        <a:srgbClr val="2A468E"/>
      </a:accent4>
      <a:accent5>
        <a:srgbClr val="D52B1E"/>
      </a:accent5>
      <a:accent6>
        <a:srgbClr val="000000"/>
      </a:accent6>
      <a:hlink>
        <a:srgbClr val="2A468E"/>
      </a:hlink>
      <a:folHlink>
        <a:srgbClr val="0000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7435-AD3B-41DA-9BC0-440B8FA00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806</Words>
  <Characters>4597</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CHG-MERIDIAN</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Raimund Haser</dc:creator>
  <cp:lastModifiedBy>Übersetzer</cp:lastModifiedBy>
  <cp:revision>3</cp:revision>
  <cp:lastPrinted>2015-07-15T13:23:00Z</cp:lastPrinted>
  <dcterms:created xsi:type="dcterms:W3CDTF">2015-07-20T08:17:00Z</dcterms:created>
  <dcterms:modified xsi:type="dcterms:W3CDTF">2015-07-21T06:50:00Z</dcterms:modified>
</cp:coreProperties>
</file>